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304" w:rsidRPr="00FE5304" w:rsidRDefault="00FE5304" w:rsidP="00FE53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ІНСТРУКЦІЯ</w:t>
      </w:r>
    </w:p>
    <w:p w:rsidR="00FE5304" w:rsidRPr="00FE5304" w:rsidRDefault="00FE5304" w:rsidP="00FE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медичного застосування лікарського засобу</w:t>
      </w:r>
    </w:p>
    <w:p w:rsidR="00FE5304" w:rsidRPr="00FE5304" w:rsidRDefault="00FE5304" w:rsidP="00FE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40" w:lineRule="auto"/>
        <w:ind w:left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n1781"/>
      <w:bookmarkEnd w:id="0"/>
      <w:proofErr w:type="spellStart"/>
      <w:r w:rsidRPr="00FE5304">
        <w:rPr>
          <w:rFonts w:ascii="Times New Roman" w:hAnsi="Times New Roman" w:cs="Times New Roman"/>
          <w:b/>
          <w:bCs/>
          <w:sz w:val="24"/>
          <w:szCs w:val="24"/>
        </w:rPr>
        <w:t>Онко</w:t>
      </w:r>
      <w:proofErr w:type="spellEnd"/>
      <w:r w:rsidRPr="00FE5304">
        <w:rPr>
          <w:rFonts w:ascii="Times New Roman" w:hAnsi="Times New Roman" w:cs="Times New Roman"/>
          <w:b/>
          <w:bCs/>
          <w:sz w:val="24"/>
          <w:szCs w:val="24"/>
        </w:rPr>
        <w:t xml:space="preserve"> БЦЖ 50, 100 / </w:t>
      </w:r>
      <w:proofErr w:type="spellStart"/>
      <w:r w:rsidRPr="00FE5304">
        <w:rPr>
          <w:rFonts w:ascii="Times New Roman" w:hAnsi="Times New Roman" w:cs="Times New Roman"/>
          <w:b/>
          <w:bCs/>
          <w:sz w:val="24"/>
          <w:szCs w:val="24"/>
        </w:rPr>
        <w:t>Оn</w:t>
      </w:r>
      <w:proofErr w:type="spellEnd"/>
      <w:r w:rsidRPr="00FE5304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FE5304">
        <w:rPr>
          <w:rFonts w:ascii="Times New Roman" w:hAnsi="Times New Roman" w:cs="Times New Roman"/>
          <w:b/>
          <w:bCs/>
          <w:sz w:val="24"/>
          <w:szCs w:val="24"/>
        </w:rPr>
        <w:t>о ВСG</w:t>
      </w:r>
      <w:r w:rsidRPr="00FE530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®</w:t>
      </w:r>
      <w:r w:rsidRPr="00FE5304">
        <w:rPr>
          <w:rFonts w:ascii="Times New Roman" w:hAnsi="Times New Roman" w:cs="Times New Roman"/>
          <w:b/>
          <w:bCs/>
          <w:sz w:val="24"/>
          <w:szCs w:val="24"/>
        </w:rPr>
        <w:t xml:space="preserve"> 50, 100</w:t>
      </w:r>
    </w:p>
    <w:p w:rsidR="00FE5304" w:rsidRPr="00FE5304" w:rsidRDefault="00FE5304" w:rsidP="00FE5304">
      <w:pPr>
        <w:spacing w:after="0" w:line="240" w:lineRule="auto"/>
        <w:ind w:lef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4">
        <w:rPr>
          <w:rFonts w:ascii="Times New Roman" w:hAnsi="Times New Roman" w:cs="Times New Roman"/>
          <w:b/>
          <w:bCs/>
          <w:sz w:val="24"/>
          <w:szCs w:val="24"/>
        </w:rPr>
        <w:t>Препарат для імунотерапії хворих на рак сечового міхура</w:t>
      </w:r>
    </w:p>
    <w:p w:rsidR="00FE5304" w:rsidRPr="00FE5304" w:rsidRDefault="00FE5304" w:rsidP="00FE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Склад:</w:t>
      </w:r>
    </w:p>
    <w:p w:rsidR="00FE5304" w:rsidRPr="00FE5304" w:rsidRDefault="00FE5304" w:rsidP="00FE5304">
      <w:pPr>
        <w:spacing w:after="0" w:line="276" w:lineRule="auto"/>
        <w:ind w:left="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530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діюча речовина</w:t>
      </w:r>
      <w:r w:rsidRPr="00FE5304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FE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E5304">
        <w:rPr>
          <w:rFonts w:ascii="Times New Roman" w:hAnsi="Times New Roman" w:cs="Times New Roman"/>
          <w:sz w:val="24"/>
          <w:szCs w:val="24"/>
        </w:rPr>
        <w:t xml:space="preserve">1 ампула або 1 флакон з порошком містить 50 мг (не менше 150 млн КУО) живих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атенуйованих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мікобактерій штаму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uk-UA"/>
        </w:rPr>
        <w:t xml:space="preserve"> 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Bacillus </w:t>
      </w:r>
      <w:proofErr w:type="spellStart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Calmette-Guerin</w:t>
      </w:r>
      <w:proofErr w:type="spellEnd"/>
      <w:r w:rsidRPr="00FE530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de-DE" w:eastAsia="de-DE"/>
        </w:rPr>
        <w:t>,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r w:rsidRPr="00FE5304">
        <w:rPr>
          <w:rFonts w:ascii="Times New Roman" w:hAnsi="Times New Roman" w:cs="Times New Roman"/>
          <w:color w:val="000000"/>
          <w:sz w:val="24"/>
          <w:szCs w:val="24"/>
        </w:rPr>
        <w:t>бразильський</w:t>
      </w:r>
      <w:r w:rsidRPr="00FE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підштам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hAnsi="Times New Roman" w:cs="Times New Roman"/>
          <w:i/>
          <w:sz w:val="24"/>
          <w:szCs w:val="24"/>
          <w:lang w:eastAsia="de-DE"/>
        </w:rPr>
        <w:t>Moreau</w:t>
      </w:r>
      <w:proofErr w:type="spellEnd"/>
      <w:r w:rsidRPr="00FE5304">
        <w:rPr>
          <w:rFonts w:ascii="Times New Roman" w:hAnsi="Times New Roman" w:cs="Times New Roman"/>
          <w:sz w:val="24"/>
          <w:szCs w:val="24"/>
          <w:lang w:eastAsia="de-DE"/>
        </w:rPr>
        <w:t>;</w:t>
      </w:r>
    </w:p>
    <w:p w:rsidR="00FE5304" w:rsidRPr="00FE5304" w:rsidRDefault="00FE5304" w:rsidP="00FE5304">
      <w:pPr>
        <w:spacing w:after="0" w:line="276" w:lineRule="auto"/>
        <w:ind w:left="40"/>
        <w:jc w:val="both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1 ампула або 1 флакон з порошком містить 100 мг (не менше 300 млн КУО) живих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атенуйованих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мікобактерій штаму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uk-UA"/>
        </w:rPr>
        <w:t xml:space="preserve"> 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Bacillus </w:t>
      </w:r>
      <w:proofErr w:type="spellStart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Calmette-Guerin</w:t>
      </w:r>
      <w:proofErr w:type="spellEnd"/>
      <w:r w:rsidRPr="00FE530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de-DE" w:eastAsia="de-DE"/>
        </w:rPr>
        <w:t>,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r w:rsidRPr="00FE5304">
        <w:rPr>
          <w:rFonts w:ascii="Times New Roman" w:hAnsi="Times New Roman" w:cs="Times New Roman"/>
          <w:color w:val="000000"/>
          <w:sz w:val="24"/>
          <w:szCs w:val="24"/>
        </w:rPr>
        <w:t>бразильський</w:t>
      </w:r>
      <w:r w:rsidRPr="00FE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підштам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hAnsi="Times New Roman" w:cs="Times New Roman"/>
          <w:i/>
          <w:sz w:val="24"/>
          <w:szCs w:val="24"/>
          <w:lang w:eastAsia="de-DE"/>
        </w:rPr>
        <w:t>Moreau</w:t>
      </w:r>
      <w:proofErr w:type="spellEnd"/>
      <w:r w:rsidRPr="00FE5304">
        <w:rPr>
          <w:rFonts w:ascii="Times New Roman" w:hAnsi="Times New Roman" w:cs="Times New Roman"/>
          <w:sz w:val="24"/>
          <w:szCs w:val="24"/>
          <w:lang w:eastAsia="de-DE"/>
        </w:rPr>
        <w:t xml:space="preserve">; </w:t>
      </w:r>
    </w:p>
    <w:p w:rsidR="00FE5304" w:rsidRPr="00FE5304" w:rsidRDefault="00FE5304" w:rsidP="00FE5304">
      <w:pPr>
        <w:spacing w:after="0" w:line="276" w:lineRule="auto"/>
        <w:ind w:left="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5304">
        <w:rPr>
          <w:rFonts w:ascii="Times New Roman" w:hAnsi="Times New Roman" w:cs="Times New Roman"/>
          <w:sz w:val="24"/>
          <w:szCs w:val="24"/>
        </w:rPr>
        <w:t>Препарат не містить консервантів;</w:t>
      </w:r>
    </w:p>
    <w:p w:rsidR="00FE5304" w:rsidRPr="00FE5304" w:rsidRDefault="00FE5304" w:rsidP="00FE5304">
      <w:pPr>
        <w:spacing w:after="0" w:line="276" w:lineRule="auto"/>
        <w:ind w:left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5304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допоміжна речовина: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r w:rsidRPr="00FE530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натрію глутамат;</w:t>
      </w:r>
    </w:p>
    <w:p w:rsidR="00FE5304" w:rsidRPr="00FE5304" w:rsidRDefault="00FE5304" w:rsidP="00FE5304">
      <w:pPr>
        <w:spacing w:after="0" w:line="276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uk-UA"/>
        </w:rPr>
        <w:t>розчинник</w:t>
      </w:r>
      <w:proofErr w:type="spellEnd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uk-UA"/>
        </w:rPr>
        <w:t>:</w:t>
      </w:r>
      <w:r w:rsidRPr="00FE5304">
        <w:rPr>
          <w:rFonts w:ascii="Times New Roman" w:hAnsi="Times New Roman" w:cs="Times New Roman"/>
          <w:sz w:val="24"/>
          <w:szCs w:val="24"/>
        </w:rPr>
        <w:t xml:space="preserve"> ізотонічний розчин натрію хлориду 0,9 %.</w:t>
      </w:r>
    </w:p>
    <w:p w:rsidR="00FE5304" w:rsidRPr="00FE5304" w:rsidRDefault="00FE5304" w:rsidP="00FE5304">
      <w:pPr>
        <w:spacing w:after="0" w:line="276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Лікарська форма. </w:t>
      </w:r>
      <w:r w:rsidRPr="00FE53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Порошок для приготування суспензії для введення у сечовий міхур. </w:t>
      </w:r>
      <w:r w:rsidRPr="00FE530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Основні фізико-хімічні властивості: </w:t>
      </w:r>
      <w:r w:rsidRPr="00FE5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розведення – сухий розсипчастий порошок білого або кремового відтінку, після розведення – однорідна суспензія без видимих конгломератів.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1784"/>
      <w:bookmarkStart w:id="2" w:name="n1785"/>
      <w:bookmarkEnd w:id="1"/>
      <w:bookmarkEnd w:id="2"/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FE530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Фармакотерапевтична</w:t>
      </w:r>
      <w:proofErr w:type="spellEnd"/>
      <w:r w:rsidRPr="00FE530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група. 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53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Інші </w:t>
      </w:r>
      <w:proofErr w:type="spellStart"/>
      <w:r w:rsidRPr="00FE5304">
        <w:rPr>
          <w:rFonts w:ascii="Times New Roman" w:eastAsia="Times New Roman" w:hAnsi="Times New Roman" w:cs="Times New Roman"/>
          <w:sz w:val="24"/>
          <w:szCs w:val="24"/>
          <w:lang w:eastAsia="uk-UA"/>
        </w:rPr>
        <w:t>імуностимулятори</w:t>
      </w:r>
      <w:proofErr w:type="spellEnd"/>
      <w:r w:rsidRPr="00FE53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Код АТХ </w:t>
      </w:r>
      <w:r w:rsidRPr="00FE5304">
        <w:rPr>
          <w:rFonts w:ascii="Times New Roman" w:eastAsia="Times New Roman" w:hAnsi="Times New Roman" w:cs="Times New Roman"/>
          <w:sz w:val="24"/>
          <w:szCs w:val="24"/>
          <w:lang w:eastAsia="de-DE"/>
        </w:rPr>
        <w:t>L03A X03.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3" w:name="n1786"/>
      <w:bookmarkEnd w:id="3"/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Імунологічні і біологічні властивості.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proofErr w:type="spellStart"/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Фармакодинаміка</w:t>
      </w:r>
      <w:proofErr w:type="spellEnd"/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Препарат БЦЖ як неспецифічний чинник активації клітинної ланки імунітету знайшов застосування при лікуванні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неінвазивних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форм раку сечового міхура (Т</w:t>
      </w:r>
      <w:r w:rsidRPr="00FE5304"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5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неінвазивна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папілярна карцинома,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Т</w:t>
      </w:r>
      <w:r w:rsidRPr="00FE5304">
        <w:rPr>
          <w:rFonts w:ascii="Times New Roman" w:eastAsia="Calibri" w:hAnsi="Times New Roman" w:cs="Times New Roman"/>
          <w:sz w:val="24"/>
          <w:szCs w:val="24"/>
          <w:vertAlign w:val="subscript"/>
        </w:rPr>
        <w:t>is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5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карцинома</w:t>
      </w:r>
      <w:r w:rsidRPr="00FE5304">
        <w:rPr>
          <w:rFonts w:ascii="Times New Roman" w:eastAsia="Calibri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FE5304">
        <w:rPr>
          <w:rFonts w:ascii="Times New Roman" w:eastAsia="Calibri" w:hAnsi="Times New Roman" w:cs="Times New Roman"/>
          <w:i/>
          <w:iCs/>
          <w:sz w:val="24"/>
          <w:szCs w:val="24"/>
          <w:lang w:eastAsia="de-DE"/>
        </w:rPr>
        <w:t>in</w:t>
      </w:r>
      <w:proofErr w:type="spellEnd"/>
      <w:r w:rsidRPr="00FE5304">
        <w:rPr>
          <w:rFonts w:ascii="Times New Roman" w:eastAsia="Calibri" w:hAnsi="Times New Roman" w:cs="Times New Roman"/>
          <w:i/>
          <w:iCs/>
          <w:sz w:val="24"/>
          <w:szCs w:val="24"/>
          <w:lang w:eastAsia="de-DE"/>
        </w:rPr>
        <w:t xml:space="preserve"> </w:t>
      </w:r>
      <w:proofErr w:type="spellStart"/>
      <w:r w:rsidRPr="00FE5304">
        <w:rPr>
          <w:rFonts w:ascii="Times New Roman" w:eastAsia="Calibri" w:hAnsi="Times New Roman" w:cs="Times New Roman"/>
          <w:i/>
          <w:iCs/>
          <w:sz w:val="24"/>
          <w:szCs w:val="24"/>
          <w:lang w:eastAsia="de-DE"/>
        </w:rPr>
        <w:t>situ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плоскопухлинна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, Т</w:t>
      </w:r>
      <w:r w:rsidRPr="00FE530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5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пухлина з поширенням на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субепітеліальну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пластину), для профілактики рецидивів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неінвазивної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форми раку сечового міхура після оперативного видалення пухлини. Інстиляція БЦЖ стимулює збільшення кількості гранулоцитів, моноцитів/макрофагів, Т-лімфоцитів, має також місце інтенсифікація продукції цитокінів </w:t>
      </w:r>
      <w:r w:rsidRPr="00FE53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TNF-α, INF-γ 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інтерлейкінів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(IL-1, IL-2, IL-5, IL-6, IL-8, IL-10, IL-12). Завдяки вищезазначеному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внутрішньоміхурова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інстиляція БЦЖ дає можливість ліквідувати первинну поверхневу ракову пухлину чи затримати, або попередити її рецидив.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Специфічний механізм дії БЦЖ не було повністю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пояснено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 Вважається, що препарат стимулює виникнення запального процесу в стінці сечового міхура, який захищає організм від розвитку захворювання, а також стимулює імунну систему пацієнта.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1787"/>
      <w:bookmarkStart w:id="5" w:name="n1789"/>
      <w:bookmarkEnd w:id="4"/>
      <w:bookmarkEnd w:id="5"/>
      <w:r w:rsidRPr="00FE530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Клінічні характеристики.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</w:pPr>
      <w:bookmarkStart w:id="6" w:name="n1790"/>
      <w:bookmarkEnd w:id="6"/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Показання.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FE530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Препарат застосовувати:</w:t>
      </w:r>
    </w:p>
    <w:p w:rsidR="00FE5304" w:rsidRPr="00FE5304" w:rsidRDefault="00FE5304" w:rsidP="00FE5304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для лікування епітеліальних,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неінвазивних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форм раку сечового міхура та для профілактики рецидивів після оперативного втручання:</w:t>
      </w:r>
    </w:p>
    <w:p w:rsidR="00FE5304" w:rsidRPr="00FE5304" w:rsidRDefault="00FE5304" w:rsidP="00FE5304">
      <w:pPr>
        <w:numPr>
          <w:ilvl w:val="0"/>
          <w:numId w:val="1"/>
        </w:numPr>
        <w:tabs>
          <w:tab w:val="left" w:pos="715"/>
        </w:tabs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lastRenderedPageBreak/>
        <w:t>епітеліального раку, обмеженого винятково слизовою оболонкою (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неінвазивна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папілярна карцинома) (Т</w:t>
      </w:r>
      <w:r w:rsidRPr="00FE5304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FE5304">
        <w:rPr>
          <w:rFonts w:ascii="Times New Roman" w:hAnsi="Times New Roman" w:cs="Times New Roman"/>
          <w:sz w:val="24"/>
          <w:szCs w:val="24"/>
        </w:rPr>
        <w:t>);</w:t>
      </w:r>
    </w:p>
    <w:p w:rsidR="00FE5304" w:rsidRPr="00FE5304" w:rsidRDefault="00FE5304" w:rsidP="00FE5304">
      <w:pPr>
        <w:numPr>
          <w:ilvl w:val="0"/>
          <w:numId w:val="1"/>
        </w:numPr>
        <w:tabs>
          <w:tab w:val="left" w:pos="715"/>
        </w:tabs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епітеліального раку, локалізованого у власній пластині слизової оболонки (не м'язовій) сечового міхура (Т</w:t>
      </w:r>
      <w:r w:rsidRPr="00FE53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E5304">
        <w:rPr>
          <w:rFonts w:ascii="Times New Roman" w:hAnsi="Times New Roman" w:cs="Times New Roman"/>
          <w:sz w:val="24"/>
          <w:szCs w:val="24"/>
        </w:rPr>
        <w:t>);</w:t>
      </w:r>
    </w:p>
    <w:p w:rsidR="00FE5304" w:rsidRPr="00FE5304" w:rsidRDefault="00FE5304" w:rsidP="00FE5304">
      <w:pPr>
        <w:numPr>
          <w:ilvl w:val="0"/>
          <w:numId w:val="1"/>
        </w:numPr>
        <w:tabs>
          <w:tab w:val="left" w:pos="710"/>
        </w:tabs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раку</w:t>
      </w:r>
      <w:r w:rsidRPr="00B570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uk-UA"/>
        </w:rPr>
        <w:t xml:space="preserve"> 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</w:t>
      </w:r>
      <w:r w:rsidRPr="00B570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situ</w:t>
      </w:r>
      <w:r w:rsidRPr="00FE5304">
        <w:rPr>
          <w:rFonts w:ascii="Times New Roman" w:hAnsi="Times New Roman" w:cs="Times New Roman"/>
          <w:sz w:val="24"/>
          <w:szCs w:val="24"/>
        </w:rPr>
        <w:t xml:space="preserve"> (карцинома</w:t>
      </w:r>
      <w:r w:rsidRPr="00B570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uk-UA"/>
        </w:rPr>
        <w:t xml:space="preserve"> 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</w:t>
      </w:r>
      <w:r w:rsidRPr="00B570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situ</w:t>
      </w:r>
      <w:r w:rsidRPr="00B570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FE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плоскопухлинна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T</w:t>
      </w:r>
      <w:r w:rsidRPr="00FE5304">
        <w:rPr>
          <w:rFonts w:ascii="Times New Roman" w:hAnsi="Times New Roman" w:cs="Times New Roman"/>
          <w:sz w:val="24"/>
          <w:szCs w:val="24"/>
          <w:vertAlign w:val="subscript"/>
        </w:rPr>
        <w:t>is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>).</w:t>
      </w:r>
    </w:p>
    <w:p w:rsidR="00FE5304" w:rsidRPr="00FE5304" w:rsidRDefault="00FE5304" w:rsidP="00FE5304">
      <w:pPr>
        <w:tabs>
          <w:tab w:val="left" w:pos="71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</w:pPr>
      <w:bookmarkStart w:id="7" w:name="n1791"/>
      <w:bookmarkEnd w:id="7"/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Протипоказання.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Внутрішньоміхурова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інстиляція препарату протипоказана наступним особам:</w:t>
      </w:r>
    </w:p>
    <w:p w:rsidR="00FE5304" w:rsidRPr="00FE5304" w:rsidRDefault="00FE5304" w:rsidP="00FE5304">
      <w:pPr>
        <w:numPr>
          <w:ilvl w:val="0"/>
          <w:numId w:val="2"/>
        </w:numPr>
        <w:tabs>
          <w:tab w:val="left" w:pos="543"/>
        </w:tabs>
        <w:spacing w:after="0" w:line="276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з алергічною реакцією на діючі або допоміжні речовини;</w:t>
      </w:r>
    </w:p>
    <w:p w:rsidR="00FE5304" w:rsidRPr="00FE5304" w:rsidRDefault="00FE5304" w:rsidP="00FE5304">
      <w:pPr>
        <w:numPr>
          <w:ilvl w:val="0"/>
          <w:numId w:val="2"/>
        </w:numPr>
        <w:tabs>
          <w:tab w:val="left" w:pos="543"/>
        </w:tabs>
        <w:spacing w:after="0" w:line="276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із вродженим або набутим дефектом імунної системи;</w:t>
      </w:r>
    </w:p>
    <w:p w:rsidR="00FE5304" w:rsidRPr="00FE5304" w:rsidRDefault="00FE5304" w:rsidP="00FE5304">
      <w:pPr>
        <w:numPr>
          <w:ilvl w:val="0"/>
          <w:numId w:val="2"/>
        </w:numPr>
        <w:tabs>
          <w:tab w:val="left" w:pos="543"/>
          <w:tab w:val="left" w:pos="834"/>
        </w:tabs>
        <w:spacing w:after="0" w:line="276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що проходять лікування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імуносупресантами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(наприклад, цитостатиками чи опроміненням та кортикостероїдами);</w:t>
      </w:r>
    </w:p>
    <w:p w:rsidR="00FE5304" w:rsidRPr="00FE5304" w:rsidRDefault="00FE5304" w:rsidP="00FE5304">
      <w:pPr>
        <w:numPr>
          <w:ilvl w:val="0"/>
          <w:numId w:val="2"/>
        </w:numPr>
        <w:tabs>
          <w:tab w:val="left" w:pos="543"/>
          <w:tab w:val="left" w:pos="771"/>
        </w:tabs>
        <w:spacing w:after="0" w:line="276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із сухотами в активній формі або іншим захворюванням, що вимагає лікування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туберкулостатиками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>;</w:t>
      </w:r>
    </w:p>
    <w:p w:rsidR="00FE5304" w:rsidRPr="00FE5304" w:rsidRDefault="00FE5304" w:rsidP="00FE5304">
      <w:pPr>
        <w:numPr>
          <w:ilvl w:val="0"/>
          <w:numId w:val="2"/>
        </w:numPr>
        <w:tabs>
          <w:tab w:val="left" w:pos="543"/>
          <w:tab w:val="left" w:pos="858"/>
        </w:tabs>
        <w:spacing w:after="0" w:line="276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із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маніфестною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інфекцією сечовивідних шляхів, поки не буде отримано стерильного посіву сечі;</w:t>
      </w:r>
    </w:p>
    <w:p w:rsidR="00FE5304" w:rsidRPr="00FE5304" w:rsidRDefault="00FE5304" w:rsidP="00FE5304">
      <w:pPr>
        <w:numPr>
          <w:ilvl w:val="0"/>
          <w:numId w:val="2"/>
        </w:numPr>
        <w:tabs>
          <w:tab w:val="left" w:pos="543"/>
          <w:tab w:val="left" w:pos="858"/>
        </w:tabs>
        <w:spacing w:after="0" w:line="276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вагітним жінкам, жінкам з підозрою на вагітність або в період годування груддю;</w:t>
      </w:r>
    </w:p>
    <w:p w:rsidR="00FE5304" w:rsidRPr="00FE5304" w:rsidRDefault="00FE5304" w:rsidP="00FE5304">
      <w:pPr>
        <w:numPr>
          <w:ilvl w:val="0"/>
          <w:numId w:val="2"/>
        </w:numPr>
        <w:tabs>
          <w:tab w:val="left" w:pos="543"/>
          <w:tab w:val="left" w:pos="858"/>
        </w:tabs>
        <w:spacing w:after="0" w:line="276" w:lineRule="auto"/>
        <w:ind w:left="181"/>
        <w:jc w:val="both"/>
        <w:rPr>
          <w:rFonts w:ascii="Times New Roman" w:hAnsi="Times New Roman" w:cs="Times New Roman"/>
          <w:sz w:val="26"/>
          <w:szCs w:val="26"/>
        </w:rPr>
      </w:pPr>
      <w:r w:rsidRPr="00FE5304">
        <w:rPr>
          <w:rFonts w:ascii="Times New Roman" w:hAnsi="Times New Roman" w:cs="Times New Roman"/>
          <w:sz w:val="24"/>
          <w:szCs w:val="24"/>
        </w:rPr>
        <w:t>дітям.</w:t>
      </w:r>
    </w:p>
    <w:p w:rsidR="00FE5304" w:rsidRPr="00FE5304" w:rsidRDefault="00FE5304" w:rsidP="00FE5304">
      <w:pPr>
        <w:spacing w:after="0" w:line="276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FE5304" w:rsidRPr="00FE5304" w:rsidRDefault="00FE5304" w:rsidP="00FE5304">
      <w:pPr>
        <w:spacing w:after="0" w:line="276" w:lineRule="auto"/>
        <w:ind w:left="23"/>
        <w:jc w:val="both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E5304">
        <w:rPr>
          <w:rFonts w:ascii="Times New Roman" w:hAnsi="Times New Roman" w:cs="Times New Roman"/>
          <w:b/>
          <w:i/>
          <w:iCs/>
          <w:sz w:val="24"/>
          <w:szCs w:val="24"/>
        </w:rPr>
        <w:t>Особливі заходи безпеки.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5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Препарат готує до застосування і вводить кваліфікований медперсонал. Не допускається до приготування </w:t>
      </w:r>
      <w:r w:rsidRPr="00FE5304">
        <w:rPr>
          <w:rFonts w:ascii="Times New Roman" w:hAnsi="Times New Roman" w:cs="Times New Roman"/>
          <w:sz w:val="24"/>
          <w:szCs w:val="24"/>
        </w:rPr>
        <w:t xml:space="preserve">та введення розчину медичний працівник зі зниженим імунітетом. Усі заходи, пов'язані з процедурою, виконуються у стерильних умовах із застосуванням стерильних рукавичок, масок і чепців. У випадку потрапляння суспензії для введення на шкіру або предмети, їх слід продезінфікувати 70 % розчином етилового спирту або 2 % розчином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септилу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Препарат містить живі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атенуйовані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палички</w:t>
      </w:r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uk-UA"/>
        </w:rPr>
        <w:t xml:space="preserve"> </w:t>
      </w:r>
      <w:proofErr w:type="spellStart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Mycobacterium</w:t>
      </w:r>
      <w:proofErr w:type="spellEnd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bovis</w:t>
      </w:r>
      <w:proofErr w:type="spellEnd"/>
      <w:r w:rsidRPr="00FE53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,</w:t>
      </w:r>
      <w:r w:rsidRPr="00FE5304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Pr="00FE5304">
        <w:rPr>
          <w:rFonts w:ascii="Times New Roman" w:hAnsi="Times New Roman" w:cs="Times New Roman"/>
          <w:sz w:val="24"/>
          <w:szCs w:val="24"/>
        </w:rPr>
        <w:t>у зв'язку з чим після процедури інструменти та матеріали (ампули, шприци, катетери тощо) занурюють у дезінфікуючий розчин на 6 годин, а потім знищують згідно з нормами щодо утилізації шкідливих для здоров'я відходів.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Взаємодія з іншими лікарськими засобами та інші види взаємодій.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5304">
        <w:rPr>
          <w:rFonts w:ascii="Times New Roman" w:hAnsi="Times New Roman" w:cs="Times New Roman"/>
          <w:sz w:val="24"/>
          <w:szCs w:val="24"/>
        </w:rPr>
        <w:t>Слід повідомити лікаря про всі препарати, які приймав пацієнт за останній час, навіть про ті, що відпускаються без рецепта.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Не слід застосовувати  препарат пацієнтам, які одночасно отримують цитостатики і стероїди. Місцеве застосування стероїдів не є протипоказанням до лікування препаратом.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Під час курсу БЦЖ-терапії слід обмежити застосування антибіотиків, що спричиня</w:t>
      </w:r>
      <w:r w:rsidRPr="00FE5304">
        <w:rPr>
          <w:rFonts w:ascii="Times New Roman" w:hAnsi="Times New Roman" w:cs="Times New Roman"/>
          <w:sz w:val="24"/>
          <w:szCs w:val="24"/>
        </w:rPr>
        <w:softHyphen/>
        <w:t>ють антибактеріальну дію проти мікобактерій туберкульозу, ацетилсаліцилової кислоти та деяких антикоагулянтів.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</w:pPr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Особливості застосування.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E5304">
        <w:rPr>
          <w:rFonts w:ascii="Times New Roman" w:hAnsi="Times New Roman" w:cs="Times New Roman"/>
          <w:sz w:val="24"/>
          <w:szCs w:val="24"/>
        </w:rPr>
        <w:t>Суспензію для введення у сечовий міхур готувати безпосередньо перед інстиляцією і одразу вводити після розчинення. Після розчинення формується гомогенна однорідна суспензія без видимих конгломератів.</w:t>
      </w:r>
      <w:r w:rsidRPr="00FE53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E53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 допускається використовувати препарат після закінчення терміну придатності, вказаного на упаковці.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5304">
        <w:rPr>
          <w:rFonts w:ascii="Times New Roman" w:hAnsi="Times New Roman" w:cs="Times New Roman"/>
          <w:sz w:val="24"/>
          <w:szCs w:val="24"/>
        </w:rPr>
        <w:lastRenderedPageBreak/>
        <w:t>Хворому не можна приймати рідину протягом 3-4 годин до та 2 години після введення препарату.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Якщо не було іншого призначення лікарем, після застосування препарату слід збільшити кількість рідини, яку треба випити протягом 24 годин після першого сечовипускання. За цей час слід випити не менш</w:t>
      </w:r>
      <w:r w:rsidRPr="00FE530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E5304">
        <w:rPr>
          <w:rFonts w:ascii="Times New Roman" w:hAnsi="Times New Roman" w:cs="Times New Roman"/>
          <w:sz w:val="24"/>
          <w:szCs w:val="24"/>
        </w:rPr>
        <w:t xml:space="preserve"> 12 склянок рідини, а сечовипускання повинно бути регулярним.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Рекомендується утримання від статевих контактів протягом 48 годин після інстиляції препарату до сечового міхура, а протягом не менше одного тижня після інстиляції слід користуватися презервативами.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Пацієнтам з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імунодефіцитним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станом не слід контактувати з особами, які проходять лікування БЦЖ.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У випадку пропущення інстиляції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БЦЖ 50 або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БЦЖ 100 слід негайно звернутися до лікаря.</w:t>
      </w:r>
    </w:p>
    <w:p w:rsidR="00FE5304" w:rsidRPr="00FE5304" w:rsidRDefault="00FE5304" w:rsidP="00FE5304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 xml:space="preserve">Даний препарат не рекомендується застосовувати для лікування </w:t>
      </w:r>
      <w:proofErr w:type="spellStart"/>
      <w:r w:rsidRPr="00FE5304">
        <w:rPr>
          <w:rFonts w:ascii="Times New Roman" w:hAnsi="Times New Roman" w:cs="Times New Roman"/>
          <w:sz w:val="24"/>
          <w:szCs w:val="24"/>
        </w:rPr>
        <w:t>інвазивних</w:t>
      </w:r>
      <w:proofErr w:type="spellEnd"/>
      <w:r w:rsidRPr="00FE5304">
        <w:rPr>
          <w:rFonts w:ascii="Times New Roman" w:hAnsi="Times New Roman" w:cs="Times New Roman"/>
          <w:sz w:val="24"/>
          <w:szCs w:val="24"/>
        </w:rPr>
        <w:t xml:space="preserve"> форм раку сечового міхура.</w:t>
      </w:r>
    </w:p>
    <w:p w:rsidR="00FE5304" w:rsidRPr="00FE5304" w:rsidRDefault="00FE5304" w:rsidP="00FE5304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FE5304">
        <w:rPr>
          <w:rFonts w:ascii="Times New Roman" w:hAnsi="Times New Roman" w:cs="Times New Roman"/>
          <w:sz w:val="24"/>
          <w:szCs w:val="24"/>
        </w:rPr>
        <w:t>У разі наявності дизурії, підвищення температури або незначного збільшення туберкулінової проби препарат можна застосовувати в дозі 50 мг.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304" w:rsidRPr="00FE5304" w:rsidRDefault="00FE5304" w:rsidP="00FE5304">
      <w:pPr>
        <w:spacing w:after="0" w:line="276" w:lineRule="auto"/>
        <w:ind w:left="2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E5304">
        <w:rPr>
          <w:rFonts w:ascii="Times New Roman" w:eastAsia="Times New Roman" w:hAnsi="Times New Roman" w:cs="Times New Roman"/>
          <w:bCs/>
          <w:i/>
          <w:sz w:val="24"/>
          <w:szCs w:val="24"/>
        </w:rPr>
        <w:t>Застосування у період вагітності або годування груддю.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застосовувати у період вагітності або годування груддю.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Здатність впливати на швидкість реакції при керуванні автотранспортом або іншими механізмами.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Вплив на здатність керувати транспортними засобами не було досліджено.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Спосіб застосування та дози.</w:t>
      </w:r>
    </w:p>
    <w:p w:rsidR="00FE5304" w:rsidRPr="00FE5304" w:rsidRDefault="00FE5304" w:rsidP="00FE5304">
      <w:pPr>
        <w:spacing w:after="0" w:line="276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Вміст 1 ампули або 1 флакона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БЦЖ 50, розчинений в 1 мл 0,9 % розчину натрію хлориду, становить 1 дозу, що використовується для 1 інстиляції сечового міхура.</w:t>
      </w:r>
    </w:p>
    <w:p w:rsidR="00FE5304" w:rsidRPr="00FE5304" w:rsidRDefault="00FE5304" w:rsidP="00FE5304">
      <w:pPr>
        <w:spacing w:after="0" w:line="276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Вміст 1 ампули або 1 флакона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БЦЖ 100, розчинений в 1 мл 0,9 %  розчину натрію хлориду, становить 1 дозу, що використовується для 1 інстиляції сечового міхура.</w:t>
      </w:r>
    </w:p>
    <w:p w:rsidR="00FE5304" w:rsidRPr="00FE5304" w:rsidRDefault="00FE5304" w:rsidP="00FE5304">
      <w:pPr>
        <w:spacing w:after="0" w:line="276" w:lineRule="auto"/>
        <w:ind w:left="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Схема лікування </w:t>
      </w:r>
      <w:proofErr w:type="spellStart"/>
      <w:r w:rsidRPr="00FE5304">
        <w:rPr>
          <w:rFonts w:ascii="Times New Roman" w:eastAsia="Calibri" w:hAnsi="Times New Roman" w:cs="Times New Roman"/>
          <w:i/>
          <w:iCs/>
          <w:sz w:val="24"/>
          <w:szCs w:val="24"/>
        </w:rPr>
        <w:t>неінвазивних</w:t>
      </w:r>
      <w:proofErr w:type="spellEnd"/>
      <w:r w:rsidRPr="00FE53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форм раку сечового міхура</w:t>
      </w:r>
    </w:p>
    <w:p w:rsidR="00FE5304" w:rsidRPr="00FE5304" w:rsidRDefault="00FE5304" w:rsidP="00FE5304">
      <w:pPr>
        <w:spacing w:after="0" w:line="276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Стандартна схема лікування полягає в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інстилюванні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сечового міхура 1 дозою препарату 1 раз на тиждень протягом 6 тижнів. Такий курс називається індукційним. У випадку виявлення рецидиву пухлини слід поновити шеститижневий курс.</w:t>
      </w:r>
    </w:p>
    <w:p w:rsidR="00FE5304" w:rsidRPr="00FE5304" w:rsidRDefault="00FE5304" w:rsidP="00FE5304">
      <w:pPr>
        <w:spacing w:after="0" w:line="276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Після чотиритижневої перерви рекомендується проведення підтримуючого курсу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БЦЖ 50, 100. Для підтримуючої терапії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інстилювати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1 дозу препарату 1 раз на тиждень протягом 3 тижнів через 3, 6, 12, 18, 24, 30 і 36 місяців, розпочинаючи з першого дня лікування. Повний 3-річний цикл лікування (індукційний курс + підтримуючий курс) становить загалом 27 інстиляцій у сечовий міхур.</w:t>
      </w:r>
    </w:p>
    <w:p w:rsidR="00FE5304" w:rsidRPr="00FE5304" w:rsidRDefault="00FE5304" w:rsidP="00FE5304">
      <w:pPr>
        <w:spacing w:after="0" w:line="276" w:lineRule="auto"/>
        <w:ind w:left="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iCs/>
          <w:sz w:val="24"/>
          <w:szCs w:val="24"/>
        </w:rPr>
        <w:t>Профілактика рецидивів</w:t>
      </w: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Внутрішньоміхурову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інстиляцію слід виконувати не раніше 14 діб після взяття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біоптату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з пухлини або слизової оболонки сечового міхура,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трансуретральної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електрорезекції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пухлини (ТУР) або після травматичної катетеризації, оскільки у разі наявності травми, коли палички БЦЖ потрапляють у кров, можуть розвинутися ускладнення – розвиток міліарного туберкульозу, навіть сепсис.</w:t>
      </w:r>
    </w:p>
    <w:p w:rsidR="00FE5304" w:rsidRPr="00FE5304" w:rsidRDefault="00FE5304" w:rsidP="00FE5304">
      <w:pPr>
        <w:spacing w:after="0" w:line="276" w:lineRule="auto"/>
        <w:ind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lastRenderedPageBreak/>
        <w:t>Спосіб застосування</w:t>
      </w: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Препарат вводиться до сечового міхура за допомогою уретрального катетера.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Лубриканти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, що полегшують введення катетера через уретру в сечовий міхур, не повинні містити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туберкулостатиків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Препарат не призначений до внутрішньовенного, підшкірного або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внутрішньом'язового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введення.</w:t>
      </w: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Перед призначенням пацієнтові курсу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внутрішньоміхурових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інстиляцій БЦЖ слід виконати пробу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Манту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(РТ, РРD) з метою перевірки рівня імунологічної відповіді організму пацієнта. У випадку коли шкірна реакція є надто сильною або перевищує 1 </w:t>
      </w:r>
      <w:r w:rsidRPr="00FE5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см 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у діаметрі (реакція діаметром понад 6 мм вважається позитивним результатом), слід відмовитися від запланованої імунотерапії. Після завершення 6-тижневого курсу слід знову зробити пробу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Манту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з метою оцінки впливу лікування на загальну імунологічну реактивність організму хворого. У частини хворих така реактивність суттєво підвищується.</w:t>
      </w: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Приготування препарату до застосування та введення кваліфікованим медперсоналом здійснюється наступним чином: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до ампули/флакона, що містить порошок, за допомогою стерильного шприца об'ємом 5 мл ввести 1 мл розчинника (стерильний 0,9 % розчин натрію хлориду). Тричі обережно набрати до шприца і знову вилити вміст до ампули з метою отримання однорідної суспензії, уникаючи струшування суспензії. Потім суспензію з ампули/флакона (1 мл) набрати до стерильного шприца об'ємом 50 мл і добрати 49 мл стерильного 0,9 % розчину натрію хлориду. У результаті розчинення формується гомогенна однорідна суспензія без видимих конгломератів.</w:t>
      </w: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Крізь катетер 12 – 14 F, введений через уретру, випорожнити сечовий міхур, промити його стерильним 0,9 % розчином натрію хлориду, щоб переконатися, що в промивній рідині відсутні домішки крові. Потім повільно ввести крізь катетер цілу дозу (50 мл) суспензії БЦЖ і додатково ввести 5 мл стерильного 0,9 % розчину натрію хлориду для повного виведення суспензії БЦЖ з катетера.</w:t>
      </w:r>
    </w:p>
    <w:p w:rsidR="00FE5304" w:rsidRPr="00FE5304" w:rsidRDefault="00FE5304" w:rsidP="00FE5304">
      <w:pPr>
        <w:spacing w:after="0" w:line="276" w:lineRule="auto"/>
        <w:ind w:left="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Після введення препарату катетер усунути і занурити у дезінфікуючий розчин. Введена суспензія БЦЖ повинна залишатися у сечовому міхурі протягом 2 годин. Протягом усього цього часу пацієнтові слід міняти положення кожні 15 хвилин (на животі, на спині і на боці). Через 2 години після введення препарату пацієнт повинен випорожнити сечовий міхур у ємність із дезінфікуючим розчином. У разі існування труднощів з повним випорожненням міхура (затримка сечі після сечовипускання) медперсоналу необхідно ввести катетер пацієнтові у сечовий міхур, що дозволяє випорожнити міхур від залишків сечі у ту ж ємність. Через 6 годин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дезрозчин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вилити у туалет, який також підлягає дезінфекції звичайними дезінфікуючими засобами.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Діти.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застосовувати.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Передозування.</w:t>
      </w:r>
    </w:p>
    <w:p w:rsidR="00FE5304" w:rsidRPr="00FE5304" w:rsidRDefault="00FE5304" w:rsidP="00FE5304">
      <w:p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Існує мала імовірність передозування препарату, не зважаючи на те, що вміст 1 ампули/флакона з препаратом становить 1 дозу. Однак у разі введення надмірної дози або тривалого утримання препарату в сечовому міхурі слід за допомогою катетера видалити з міхура затриману сечу (в осіб із затримкою сечі після сечовипускання) та кілька разів промити його стерильним 0,9 % розчином натрію хлориду. У разі подальшого розвитку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lastRenderedPageBreak/>
        <w:t>мікобактеріальної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інфекції терміново застосувати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туберкулостатики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. Вище зазначені дії має виконувати кваліфікований медперсонал.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</w:pPr>
      <w:r w:rsidRPr="00FE53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Побічні реакції</w:t>
      </w:r>
    </w:p>
    <w:p w:rsidR="00FE5304" w:rsidRPr="00FE5304" w:rsidRDefault="00FE5304" w:rsidP="00FE5304">
      <w:pPr>
        <w:tabs>
          <w:tab w:val="left" w:pos="108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Побічні реакції наведені за класами систем органів відповідно до Медичного словника регуляторної діяльності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MedDRA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з використанням визначень частоти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MedDRA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: дуже часто ( ≥1/10), часто ( ≥ 1/100 до &lt;1/10) нечасто ( ≥ 1/1,000 до &lt;1/100),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( ≥ 1/10,000 до &lt; 1/1,000), 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( &lt; 1/10,000), невідома частота (не можна оцінити за наявними даними).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E5304">
        <w:rPr>
          <w:rFonts w:ascii="Times New Roman" w:eastAsia="Calibri" w:hAnsi="Times New Roman" w:cs="Times New Roman"/>
          <w:i/>
          <w:sz w:val="24"/>
          <w:szCs w:val="24"/>
        </w:rPr>
        <w:t xml:space="preserve"> боку шлунково-кишкового тракту: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часто – нудота; 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часто – біль у животі, діарея; 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блювання, кишкова фістула, перитоніт, диспепсія, метеоризм, запалення сліпої кишки, туберкульоз привушної слинної залози, туберкульоз печінки, туберкульоз сліпої кишки, черевний абсцес сліпої кишки.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З боку нирок та сечовивідних шляхів: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дуже часто – цистит, запалення (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гранулематоз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) сечового міхура, гематурія, часте сечовипускання з почуттям дискомфорту та болю, дизурія;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часто – подразнення сечового міхура, імперативні позиви до сечовипускання, нетримання сечі, патологічні результати аналізу сечі;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нечасто –  інфекції сечовивідної системи, контрактура сечового міхура, затримка сечі, непрохідність сечовивідних шляхів,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піурія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лейкоцитурія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ниркові абсцеси;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гостра ниркова недостатність, запалення нирок, туберкульоз нирок, туберкульоз сечового міхура,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міхурово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-сечовивідний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рефлюкс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ніктурія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З боку сечостатевої системи: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часто –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безсимптомний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гранулематозний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простатит;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запалення придатків яєчок (епідидиміт), запалення яєчок (орхіт);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симптоматичний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гранулематозний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простатит;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запалення та абсцес яєчок і придатків яєчок, що не реагує на лікування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протисухотними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препаратами, запалення шкіри голівки статевого члена і внутрішнього листка крайньої плоті, простатит, дисфункція ерекції, дискомфорт у дільниці зовнішніх жіночих статевих органів.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>Загальні порушення: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дуже часто – температура нижче 38,5 °С, слабкість, грипоподібні симптоми (нездужання, гарячка, пропасниця), загальний дискомфорт;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часто – тремтіння, стійке підвищення температури вище 38,5 °С;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зниження артеріального тиску;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біль у грудній клітці, периферичний набряк,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гранулематоз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(спостерігається у різних органах: аорта, придаток яєчка, шлунково-кишковий тракт, нирки, печінка, лімфовузли, черевна порожнина, передміхурова залоза, селезінка, кістки),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поліорганна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недостатність, септичний шок.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 xml:space="preserve">З боку </w:t>
      </w:r>
      <w:proofErr w:type="spellStart"/>
      <w:r w:rsidRPr="00FE5304">
        <w:rPr>
          <w:rFonts w:ascii="Times New Roman" w:eastAsia="Calibri" w:hAnsi="Times New Roman" w:cs="Times New Roman"/>
          <w:i/>
          <w:sz w:val="24"/>
          <w:szCs w:val="24"/>
        </w:rPr>
        <w:t>скелетно</w:t>
      </w:r>
      <w:proofErr w:type="spellEnd"/>
      <w:r w:rsidRPr="00FE5304">
        <w:rPr>
          <w:rFonts w:ascii="Times New Roman" w:eastAsia="Calibri" w:hAnsi="Times New Roman" w:cs="Times New Roman"/>
          <w:i/>
          <w:sz w:val="24"/>
          <w:szCs w:val="24"/>
        </w:rPr>
        <w:t>-м’язової системи та сполучної тканини: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часто – м'язовий біль;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артрити, болі у суглобах;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запалення кісткового мозку, інфекція кісткового мозку, абсцеси великого поперекового м'язу,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артропатія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, кістково-суглобні інфекції,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мієлосупресія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, запалення хребта, туберкульоз хребта, біль у спині.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>Інфекції та інвазії: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інфікування паличками БЦЖ;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БЦЖ-сепсис;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інфекція паличками БЦЖ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імплантантів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та навколишніх тканин (напр., інфекція протезу аорти, кардіостимулятора, протезу стегна або коліна), інфекція післяопераційної рани,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вовчанка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tabs>
          <w:tab w:val="left" w:pos="108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З боку кровотворної і лімфатичної систем: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нечасто – анемія,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цитопенія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, зниження кількості тромбоцитів;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генералізоване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збільшення лімфовузлів, запалення шийних лімфовузлів; запалення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регіонарних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лімфовузлів,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кріоглобулінемія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 боку імунної системи: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хвороба Рейтера (кон'юнктивіт, асиметричний артрит дрібних суглобів);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реакція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гіперчутливості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, хвороба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Мікуліча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>З боку дихальної системи: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</w:t>
      </w:r>
      <w:r w:rsidRPr="00FE53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пневмонія,</w:t>
      </w:r>
      <w:r w:rsidRPr="00FE530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спричинена паличками БЦЖ,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гранулематоз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легень;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кашель;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бронхіт, задишка, нежить, запалення горла, обширне пошкодження альвеол, гнійний плеврит.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боку </w:t>
      </w:r>
      <w:proofErr w:type="spellStart"/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гепатобіліарної</w:t>
      </w:r>
      <w:proofErr w:type="spellEnd"/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системи: 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гепатит;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>З боку шкіри та підшкірних тканин: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висипання, абсцеси, дерматози;</w:t>
      </w:r>
    </w:p>
    <w:p w:rsidR="00FE5304" w:rsidRPr="00FE5304" w:rsidRDefault="00FE5304" w:rsidP="00FE5304">
      <w:pPr>
        <w:spacing w:after="0" w:line="276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облисіння, надмірне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потовідділення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>З боку серцево-судинної системи: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інфекція судин;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фістули у судинах,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мікотична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аневризма, геморагічний васкуліт (хвороба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Шенлейна-Геноха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кардіотоксичність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>З боку органів слуху: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запалення судинної оболонки та сітківки, запалення роговиці, кон'юнктивіт, запалення судинної оболонки яблука ока.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i/>
          <w:sz w:val="24"/>
          <w:szCs w:val="24"/>
        </w:rPr>
        <w:t>З боку нервової системи:</w:t>
      </w:r>
    </w:p>
    <w:p w:rsidR="00FE5304" w:rsidRPr="00FE5304" w:rsidRDefault="00FE5304" w:rsidP="00FE5304">
      <w:pPr>
        <w:spacing w:after="0" w:line="276" w:lineRule="auto"/>
        <w:ind w:right="8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запаморочення,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гіпестезія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, парестезія, сонливість, головний біль, гіпертонія, невралгія, астенія.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Метаболізм і розлади харчування: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анорексія.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</w:pP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Лабораторні аналізи:</w:t>
      </w:r>
      <w:r w:rsidRPr="00FE530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нечасто – підвищена концентрація печінкових ензимів;</w:t>
      </w:r>
    </w:p>
    <w:p w:rsidR="00FE5304" w:rsidRPr="00FE5304" w:rsidRDefault="00FE5304" w:rsidP="00FE53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дуже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рідко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–  рівень специфічного антигену передміхурової залози (ПСА), втрата маси тіла.</w:t>
      </w:r>
    </w:p>
    <w:p w:rsidR="00FE5304" w:rsidRPr="00FE5304" w:rsidRDefault="00FE5304" w:rsidP="00FE5304">
      <w:p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Лікування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неінвазивних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форм раку сечового міхура препаратами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БЦЖ 50 або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БЦЖ 100 у вигляді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внутрішньоміхурових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інстиляцій зазвичай добре переноситься більшістю пацієнтів, хоча у деяких хворих імовірний розвиток як місцевих, так і системних побічних ефектів. Як правило, вони не являють загрози та досить швидко минають.</w:t>
      </w:r>
    </w:p>
    <w:p w:rsidR="00FE5304" w:rsidRPr="00FE5304" w:rsidRDefault="00FE5304" w:rsidP="00FE5304">
      <w:p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lastRenderedPageBreak/>
        <w:t>Ускладнення, що спостерігаються найчастіше (приблизно у 90 % пацієнтів), це слабко виражені, короткотривалі локальні розлади з боку сечового міхура: запалення сечового міхура</w:t>
      </w:r>
      <w:r w:rsidRPr="00FE530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що проявляється зазвичай після другої чи третьої інстиляції,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полакіурія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>, гематурія, болісні позиви до сечовипускання, що мають місце у день інстиляції та минають, як правило, після призначення нестероїдних протизапальних препаратів.</w:t>
      </w:r>
    </w:p>
    <w:p w:rsidR="00FE5304" w:rsidRPr="00FE5304" w:rsidRDefault="00FE5304" w:rsidP="00FE5304">
      <w:p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Відомі також більш небажані наслідки терапії як, наприклад,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сухотоподібне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запалення глибших шарів стінки сечового міхура, простатит та/або епідидиміт з утворенням вогнищ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казеозного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некрозу, запалення суглобів, вогнища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сухотоподібного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гранулематозу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в легенях і печінці.</w:t>
      </w:r>
    </w:p>
    <w:p w:rsidR="00FE5304" w:rsidRPr="00FE5304" w:rsidRDefault="00FE5304" w:rsidP="00FE5304">
      <w:pPr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Можуть розвинутися загальносистемні реакції, до яких належать переважно знесилення, нездужання, короткотривале підвищення температури (38-39 °С), пропасниця, нудота, біль у м'язах, суглобах, біль у статевих органах, діарея. Як правило, ці симптоми утримуються не більше 1-3 діб.</w:t>
      </w:r>
    </w:p>
    <w:p w:rsidR="00FE5304" w:rsidRPr="00FE5304" w:rsidRDefault="00FE5304" w:rsidP="00FE5304">
      <w:pPr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У 5 % пацієнтів можуть розвиватися симптоми інтоксикації, септичні стани, що загрожують життю та вимагають інтенсивної терапії. Лікування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туберкулостатиками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додатково вимагається приблизно у 5-10 % пацієнтів, які проходять імунотерапію БЦЖ, насамперед під час інтенсивних підтримуючих курсів.</w:t>
      </w:r>
    </w:p>
    <w:p w:rsidR="00FE5304" w:rsidRPr="00FE5304" w:rsidRDefault="00FE5304" w:rsidP="00FE5304">
      <w:pPr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Введення препарату до сечового міхура з пошкодженою слизовою оболонкою (наприклад, безпосередньо після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електрорезекції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) здатне спричинити проникнення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атенуйованих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паличок у кров, що може стати причиною розвитку міліарного туберкульозу і навіть сепсису. Після запровадження суворих критеріїв щодо безпеки БЦЖ-терапії кількість повідомлень про серйозні ускладнення значно скоротилася. У зв'язку з цим особливе значення має час, який минає від дати операції (не менше 14 діб), </w:t>
      </w: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атравматичне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введення катетера, відсутність інфекції у сечовивідних шляхах в активній формі, ретельне спостереження за пацієнтами під час терапії та, відповідно, швидке застосування протитуберкульозного лікування.</w:t>
      </w:r>
    </w:p>
    <w:p w:rsidR="00FE5304" w:rsidRPr="00FE5304" w:rsidRDefault="00FE5304" w:rsidP="00FE5304">
      <w:pPr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Вважається, що у пацієнтів з сечовим міхуром малої ємності існує більший ризик розвитку фіброзу сечового міхура, а у пацієнтів з наявністю НLА-В27 можуть посилюватися симптоми ревматичної хвороби або симптоми хвороби Рейтера (реактивного артриту).</w:t>
      </w:r>
    </w:p>
    <w:p w:rsidR="00FE5304" w:rsidRPr="00FE5304" w:rsidRDefault="00FE5304" w:rsidP="00FE5304">
      <w:pPr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Слід негайно повідомити лікаря або звернутися до найближчої лікарні у разі виникнення наступних симптомів: </w:t>
      </w:r>
    </w:p>
    <w:p w:rsidR="00FE5304" w:rsidRPr="00FE5304" w:rsidRDefault="00FE5304" w:rsidP="00FE5304">
      <w:pPr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алергічна реакція, що може проявлятися у вигляді проблем з диханням, кашлю, висипанням, набряку обличчя;</w:t>
      </w:r>
    </w:p>
    <w:p w:rsidR="00FE5304" w:rsidRPr="00FE5304" w:rsidRDefault="00FE5304" w:rsidP="00FE5304">
      <w:pPr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сухотна інфекція, що може проявлятися кашлем, гарячкою, що тримається більше 12 годин (температура вище 39,5 °С) або довше 2 діб (температура вище 38,5 °С).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Слід якомога швидше повідомити лікаря у разі виявлення наступних симптомів: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жовті очі або шкіра;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- сіруваті або білуваті випорожнення;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гарячка (температура вище 38,5 °С) із пропасницею, головний біль, біль у м'язах або суглобах, що тривають більше 2 діб;</w:t>
      </w:r>
    </w:p>
    <w:p w:rsidR="00FE5304" w:rsidRPr="00FE5304" w:rsidRDefault="00FE5304" w:rsidP="00FE5304">
      <w:pPr>
        <w:spacing w:after="0" w:line="276" w:lineRule="auto"/>
        <w:ind w:right="1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суттєвий біль під час сечовипускання або надмірне сечовипускання;</w:t>
      </w:r>
    </w:p>
    <w:p w:rsidR="00FE5304" w:rsidRPr="00FE5304" w:rsidRDefault="00FE5304" w:rsidP="00FE5304">
      <w:pPr>
        <w:spacing w:after="0" w:line="276" w:lineRule="auto"/>
        <w:ind w:right="1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запальний стан очного яблука;</w:t>
      </w:r>
    </w:p>
    <w:p w:rsidR="00FE5304" w:rsidRPr="00FE5304" w:rsidRDefault="00FE5304" w:rsidP="00FE5304">
      <w:pPr>
        <w:tabs>
          <w:tab w:val="left" w:pos="108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гематурія.</w:t>
      </w:r>
    </w:p>
    <w:p w:rsidR="00FE5304" w:rsidRPr="00FE5304" w:rsidRDefault="00FE5304" w:rsidP="00FE5304">
      <w:pPr>
        <w:tabs>
          <w:tab w:val="left" w:leader="underscore" w:pos="6711"/>
        </w:tabs>
        <w:spacing w:after="0" w:line="276" w:lineRule="auto"/>
        <w:ind w:right="10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uk-UA"/>
        </w:rPr>
      </w:pPr>
    </w:p>
    <w:p w:rsidR="00FE5304" w:rsidRPr="00FE5304" w:rsidRDefault="00FE5304" w:rsidP="00FE5304">
      <w:pPr>
        <w:spacing w:after="0"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304">
        <w:rPr>
          <w:rFonts w:ascii="Times New Roman" w:eastAsia="Calibri" w:hAnsi="Times New Roman" w:cs="Times New Roman"/>
          <w:b/>
          <w:bCs/>
          <w:sz w:val="24"/>
          <w:szCs w:val="24"/>
        </w:rPr>
        <w:t>Порядок дій у разі ускладнень під час або після БЦЖ-терапії:</w:t>
      </w:r>
    </w:p>
    <w:p w:rsidR="00FE5304" w:rsidRPr="00FE5304" w:rsidRDefault="00FE5304" w:rsidP="00FE530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W w:w="94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5180"/>
        <w:gridCol w:w="60"/>
        <w:gridCol w:w="4106"/>
        <w:gridCol w:w="62"/>
      </w:tblGrid>
      <w:tr w:rsidR="00FE5304" w:rsidRPr="00FE5304" w:rsidTr="00FE5304">
        <w:trPr>
          <w:gridBefore w:val="1"/>
          <w:wBefore w:w="56" w:type="dxa"/>
          <w:trHeight w:val="370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240" w:lineRule="auto"/>
              <w:ind w:left="8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Ступінь інтенсивності побічних дій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240" w:lineRule="auto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Рекомендовані заходи</w:t>
            </w:r>
          </w:p>
        </w:tc>
      </w:tr>
      <w:tr w:rsidR="00FE5304" w:rsidRPr="00FE5304" w:rsidTr="00FE5304">
        <w:trPr>
          <w:gridBefore w:val="1"/>
          <w:wBefore w:w="56" w:type="dxa"/>
          <w:trHeight w:val="1368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36" w:lineRule="exact"/>
              <w:ind w:left="1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I°— симптоми слабкого або помірного ступеня інтенсивності/до 48 годин</w:t>
            </w:r>
          </w:p>
          <w:p w:rsidR="00FE5304" w:rsidRPr="00FE5304" w:rsidRDefault="00FE5304" w:rsidP="00FE5304">
            <w:pPr>
              <w:spacing w:after="0" w:line="336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полакіурія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гематурія, дизурія, температура </w:t>
            </w:r>
          </w:p>
          <w:p w:rsidR="00FE5304" w:rsidRPr="00FE5304" w:rsidRDefault="00FE5304" w:rsidP="00FE5304">
            <w:pPr>
              <w:spacing w:after="0" w:line="336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 38,5 °С,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знедужання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, знесилення та слабкість.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36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Нестероїдні знеболювальні та протизапальні препарати,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спазмолітики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. Продовження курсу інстиляцій БЦЖ.</w:t>
            </w:r>
          </w:p>
        </w:tc>
      </w:tr>
      <w:tr w:rsidR="00FE5304" w:rsidRPr="00FE5304" w:rsidTr="00FE5304">
        <w:trPr>
          <w:gridBefore w:val="1"/>
          <w:wBefore w:w="56" w:type="dxa"/>
          <w:trHeight w:val="445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II° — симптоми значного ступеня інтенсивності/після 48 годин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Інтенсивна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полакіурія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дизурія, тривала гарячка, темп. &gt;38,5 </w:t>
            </w:r>
            <w:r w:rsidRPr="00FE530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Рекомендовані дослідження: посів сечі, рентген грудної клітки, рівень печінкових трансаміназ.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Нестероїдні знеболювальні та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протизапальні препарати,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спазмолітики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ципрофлоксацин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офлоксацилін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або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ізоніазид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(INH) (300 мг/добу) до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зникнення симптомів. Лікування симптомів неспецифічної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інфекції відповідно до</w:t>
            </w:r>
          </w:p>
          <w:p w:rsidR="00FE5304" w:rsidRPr="00FE5304" w:rsidRDefault="00FE5304" w:rsidP="00FE5304">
            <w:pPr>
              <w:spacing w:after="0" w:line="341" w:lineRule="exact"/>
              <w:ind w:left="80" w:right="9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антибіотикограми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Продовження курсу інстиляцій БЦЖ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допускається тільки після повного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зникнення симптомів. Слід розглянути доцільність зменшення дози.</w:t>
            </w:r>
          </w:p>
        </w:tc>
      </w:tr>
      <w:tr w:rsidR="00FE5304" w:rsidRPr="00FE5304" w:rsidTr="00FE5304">
        <w:trPr>
          <w:gridAfter w:val="1"/>
          <w:wAfter w:w="62" w:type="dxa"/>
          <w:trHeight w:val="4162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III° — місцеві </w:t>
            </w:r>
            <w:proofErr w:type="spellStart"/>
            <w:r w:rsidRPr="00FE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регіонарні</w:t>
            </w:r>
            <w:proofErr w:type="spellEnd"/>
            <w:r w:rsidRPr="00FE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симптоми чи алергічні реакції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Алергічні: висипання, біль у суглобах, </w:t>
            </w:r>
            <w:proofErr w:type="spellStart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ревматоїдний</w:t>
            </w:r>
            <w:proofErr w:type="spellEnd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артрит, кон'юнктивіт. Запалення придатків яєчок, симптоматичний </w:t>
            </w:r>
            <w:proofErr w:type="spellStart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гранулематозний</w:t>
            </w:r>
            <w:proofErr w:type="spellEnd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простатит, туберкульозний </w:t>
            </w:r>
            <w:proofErr w:type="spellStart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гранулематоз</w:t>
            </w:r>
            <w:proofErr w:type="spellEnd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нирок, специфічний гепатит, пневмонія, остит.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Рекомендовані дослідження: загальний клінічний аналіз сечі, посів сечі, рентген грудної клітки, УЗД черевної порожнини.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Антигістамінні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нестероїдні, протизапальні препарати. Слід розглянути доцільність призначення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ізоніазиду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(INH) та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рифампіцину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(RFР), якщо симптоми утримуються довше 15 діб: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INH (300 мг/добу) і RFP (600 мг/добу) протягом 3 місяців 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INH і RFP протягом 6 місяців </w:t>
            </w:r>
          </w:p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Тимчасове припинення БЦЖ терапії.</w:t>
            </w:r>
          </w:p>
        </w:tc>
      </w:tr>
      <w:tr w:rsidR="00FE5304" w:rsidRPr="00FE5304" w:rsidTr="00FE5304">
        <w:trPr>
          <w:gridAfter w:val="1"/>
          <w:wAfter w:w="62" w:type="dxa"/>
          <w:trHeight w:val="445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IV° — системні, тяжкі, септичні побічні ефекти 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Симптоми </w:t>
            </w:r>
            <w:proofErr w:type="spellStart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мультиорганного</w:t>
            </w:r>
            <w:proofErr w:type="spellEnd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ураження, сепсис, симптоми дихальної недостатності, недостатності кровопостачання, </w:t>
            </w:r>
            <w:proofErr w:type="spellStart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гепатомегалія</w:t>
            </w:r>
            <w:proofErr w:type="spellEnd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лейкопенія.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Додаткові дослідження: повний морфологічний і біохімічний аналіз крові, мікробіологічний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аналіз крові та сечі, при необхідності біопсія</w:t>
            </w:r>
          </w:p>
          <w:p w:rsidR="00FE5304" w:rsidRPr="00FE5304" w:rsidRDefault="00FE5304" w:rsidP="00FE5304">
            <w:pPr>
              <w:spacing w:after="0" w:line="341" w:lineRule="exact"/>
              <w:ind w:left="1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печінки, </w:t>
            </w:r>
            <w:proofErr w:type="spellStart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щіточкова</w:t>
            </w:r>
            <w:proofErr w:type="spellEnd"/>
            <w:r w:rsidRPr="00FE5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біопсія бронхів.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5304" w:rsidRPr="00FE5304" w:rsidRDefault="00FE5304" w:rsidP="00FE5304">
            <w:pPr>
              <w:spacing w:after="0" w:line="34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Госпіталізація, негайне впровадження протитуберкульозної терапії (INH,  RFP,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етамбутол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преднізолон             40 мг/добу, </w:t>
            </w:r>
            <w:proofErr w:type="spellStart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ципрофлоксацин</w:t>
            </w:r>
            <w:proofErr w:type="spellEnd"/>
            <w:r w:rsidRPr="00FE5304">
              <w:rPr>
                <w:rFonts w:ascii="Times New Roman" w:eastAsia="Calibri" w:hAnsi="Times New Roman" w:cs="Times New Roman"/>
                <w:sz w:val="24"/>
                <w:szCs w:val="24"/>
              </w:rPr>
              <w:t>. Симптоматична терапія.</w:t>
            </w:r>
          </w:p>
        </w:tc>
      </w:tr>
      <w:tr w:rsidR="00FE5304" w:rsidRPr="00FE5304" w:rsidTr="00FE5304"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304" w:rsidRPr="00FE5304" w:rsidRDefault="00FE5304" w:rsidP="00FE530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304" w:rsidRPr="00FE5304" w:rsidRDefault="00FE5304" w:rsidP="00FE530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304" w:rsidRPr="00FE5304" w:rsidRDefault="00FE5304" w:rsidP="00FE530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304" w:rsidRPr="00FE5304" w:rsidRDefault="00FE5304" w:rsidP="00FE530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304" w:rsidRPr="00FE5304" w:rsidRDefault="00FE5304" w:rsidP="00FE530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</w:tr>
    </w:tbl>
    <w:p w:rsidR="00FE5304" w:rsidRPr="00FE5304" w:rsidRDefault="00FE5304" w:rsidP="00FE5304">
      <w:pPr>
        <w:spacing w:after="0" w:line="300" w:lineRule="exac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120" w:lineRule="exac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Для запобігання розвитку побічних явищ рекомендується: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припинити палити (якщо пацієнт є курцем);</w:t>
      </w:r>
      <w:r w:rsidRPr="00FE530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E530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- </w:t>
      </w:r>
      <w:r w:rsidRPr="00FE5304">
        <w:rPr>
          <w:rFonts w:ascii="Times New Roman" w:eastAsia="Calibri" w:hAnsi="Times New Roman" w:cs="Times New Roman"/>
          <w:sz w:val="24"/>
          <w:szCs w:val="24"/>
        </w:rPr>
        <w:t>пити багато рідини (води);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у разі відчуття виснаження відпочивати;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уникати вживання алкоголю;</w:t>
      </w:r>
    </w:p>
    <w:p w:rsidR="00FE5304" w:rsidRPr="00FE5304" w:rsidRDefault="00FE5304" w:rsidP="00FE5304">
      <w:pPr>
        <w:spacing w:after="296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- виконувати всі рекомендації лікаря та приймати рекомендовані ним препарати.</w:t>
      </w:r>
    </w:p>
    <w:p w:rsidR="00FE5304" w:rsidRPr="00FE5304" w:rsidRDefault="00FE5304" w:rsidP="00FE530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FE5304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Термін придатності.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2 роки.</w:t>
      </w:r>
      <w:bookmarkStart w:id="8" w:name="bookmark5"/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Термін придатності розчинника – 4 роки.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Після приготування суспензії препарат використати негайно.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b/>
          <w:bCs/>
          <w:sz w:val="24"/>
          <w:szCs w:val="24"/>
        </w:rPr>
        <w:t>Умови зберігання</w:t>
      </w:r>
      <w:bookmarkEnd w:id="8"/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Зберігати при температурі від 2 ºС до 8 ºС (у холодильнику). </w:t>
      </w:r>
    </w:p>
    <w:p w:rsidR="00FE5304" w:rsidRPr="00FE5304" w:rsidRDefault="00FE5304" w:rsidP="00FE53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Зберігати у захищеному від світла місці в оригінальній упаковці.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Зберігати у недоступному для дітей місці. 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5304">
        <w:rPr>
          <w:rFonts w:ascii="Times New Roman" w:eastAsia="Calibri" w:hAnsi="Times New Roman" w:cs="Times New Roman"/>
          <w:b/>
          <w:sz w:val="24"/>
          <w:szCs w:val="24"/>
        </w:rPr>
        <w:t>Несумісність.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Застосовувати лише розчинники, зазначені у розділі «Спосіб застосування та дози».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БЦЖ 50: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По 1 ампулі або 1 флакону з порошком у комплекті з 1 ампулою з розчинником  по 1 мл у картонній коробці.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По 5 ампул або 5 флаконів з порошком у комплекті з 5 ампулами з розчинником по 1 мл у картонній коробці.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5304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FE5304">
        <w:rPr>
          <w:rFonts w:ascii="Times New Roman" w:eastAsia="Calibri" w:hAnsi="Times New Roman" w:cs="Times New Roman"/>
          <w:sz w:val="24"/>
          <w:szCs w:val="24"/>
        </w:rPr>
        <w:t xml:space="preserve"> БЦЖ 100: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t>По 1 ампулі або 1 флакону з порошком у комплекті з 1 ампулою з розчинником по 1 мл у картонній коробці.</w:t>
      </w:r>
    </w:p>
    <w:p w:rsidR="00FE5304" w:rsidRPr="00FE5304" w:rsidRDefault="00FE5304" w:rsidP="00FE53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304">
        <w:rPr>
          <w:rFonts w:ascii="Times New Roman" w:eastAsia="Calibri" w:hAnsi="Times New Roman" w:cs="Times New Roman"/>
          <w:sz w:val="24"/>
          <w:szCs w:val="24"/>
        </w:rPr>
        <w:lastRenderedPageBreak/>
        <w:t>По 5 ампул або 5 флаконів з порошком у комплекті з 5 ампулами з розчинником по 1 мл у картонній коробці.</w:t>
      </w:r>
    </w:p>
    <w:p w:rsidR="00FE5304" w:rsidRPr="00FE5304" w:rsidRDefault="00FE5304" w:rsidP="00FE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Категорія відпуску. </w:t>
      </w:r>
    </w:p>
    <w:p w:rsidR="00FE5304" w:rsidRPr="00FE5304" w:rsidRDefault="00FE5304" w:rsidP="00FE5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рецептом.</w:t>
      </w:r>
    </w:p>
    <w:p w:rsidR="00FE5304" w:rsidRPr="00FE5304" w:rsidRDefault="00FE5304" w:rsidP="00FE5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304" w:rsidRPr="00FE5304" w:rsidRDefault="00FE5304" w:rsidP="00FE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Виробник.</w:t>
      </w:r>
    </w:p>
    <w:p w:rsidR="00FE5304" w:rsidRPr="00462125" w:rsidRDefault="00462125" w:rsidP="00FE53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Стиму</w:t>
      </w:r>
      <w:bookmarkStart w:id="9" w:name="_GoBack"/>
      <w:bookmarkEnd w:id="9"/>
      <w:proofErr w:type="spellEnd"/>
    </w:p>
    <w:p w:rsidR="00B00CEA" w:rsidRDefault="00B00CEA"/>
    <w:sectPr w:rsidR="00B0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83225C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04"/>
    <w:rsid w:val="00462125"/>
    <w:rsid w:val="0064579A"/>
    <w:rsid w:val="00B00CEA"/>
    <w:rsid w:val="00B57068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EFB7"/>
  <w15:chartTrackingRefBased/>
  <w15:docId w15:val="{76676B17-318C-4070-98DE-8BA82788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E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Основний текст_"/>
    <w:link w:val="1"/>
    <w:uiPriority w:val="99"/>
    <w:locked/>
    <w:rsid w:val="00FE530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3"/>
    <w:uiPriority w:val="99"/>
    <w:rsid w:val="00FE5304"/>
    <w:pPr>
      <w:shd w:val="clear" w:color="auto" w:fill="FFFFFF"/>
      <w:spacing w:after="300" w:line="341" w:lineRule="exact"/>
      <w:ind w:hanging="360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ий текст (4)_"/>
    <w:link w:val="40"/>
    <w:uiPriority w:val="99"/>
    <w:locked/>
    <w:rsid w:val="00FE5304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FE5304"/>
    <w:pPr>
      <w:shd w:val="clear" w:color="auto" w:fill="FFFFFF"/>
      <w:spacing w:after="0" w:line="341" w:lineRule="exact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3">
    <w:name w:val="Основний текст (3)_"/>
    <w:link w:val="30"/>
    <w:uiPriority w:val="99"/>
    <w:locked/>
    <w:rsid w:val="00FE530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E5304"/>
    <w:pPr>
      <w:shd w:val="clear" w:color="auto" w:fill="FFFFFF"/>
      <w:spacing w:after="660" w:line="336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rvts11">
    <w:name w:val="rvts11"/>
    <w:basedOn w:val="a0"/>
    <w:rsid w:val="00FE5304"/>
  </w:style>
  <w:style w:type="character" w:customStyle="1" w:styleId="a4">
    <w:name w:val="Основний текст + Курсив"/>
    <w:uiPriority w:val="99"/>
    <w:rsid w:val="00FE5304"/>
    <w:rPr>
      <w:rFonts w:ascii="Times New Roman" w:hAnsi="Times New Roman" w:cs="Times New Roman" w:hint="default"/>
      <w:i/>
      <w:iCs/>
      <w:sz w:val="26"/>
      <w:szCs w:val="26"/>
      <w:shd w:val="clear" w:color="auto" w:fill="FFFFFF"/>
      <w:lang w:val="de-DE" w:eastAsia="de-DE"/>
    </w:rPr>
  </w:style>
  <w:style w:type="character" w:customStyle="1" w:styleId="41">
    <w:name w:val="Основний текст (4) + Не курсив"/>
    <w:uiPriority w:val="99"/>
    <w:rsid w:val="00FE5304"/>
    <w:rPr>
      <w:rFonts w:ascii="Times New Roman" w:hAnsi="Times New Roman" w:cs="Times New Roman" w:hint="default"/>
      <w:i/>
      <w:iCs/>
      <w:spacing w:val="0"/>
      <w:sz w:val="26"/>
      <w:szCs w:val="26"/>
      <w:shd w:val="clear" w:color="auto" w:fill="FFFFFF"/>
    </w:rPr>
  </w:style>
  <w:style w:type="character" w:customStyle="1" w:styleId="42">
    <w:name w:val="Основний текст + Курсив4"/>
    <w:uiPriority w:val="99"/>
    <w:rsid w:val="00FE5304"/>
    <w:rPr>
      <w:rFonts w:ascii="Times New Roman" w:hAnsi="Times New Roman" w:cs="Times New Roman" w:hint="default"/>
      <w:i/>
      <w:iCs/>
      <w:sz w:val="26"/>
      <w:szCs w:val="26"/>
      <w:shd w:val="clear" w:color="auto" w:fill="FFFFFF"/>
      <w:lang w:val="en-US" w:eastAsia="en-US"/>
    </w:rPr>
  </w:style>
  <w:style w:type="character" w:customStyle="1" w:styleId="FontStyle27">
    <w:name w:val="Font Style27"/>
    <w:uiPriority w:val="99"/>
    <w:rsid w:val="00FE530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2">
    <w:name w:val="Основний текст + Напівжирний2"/>
    <w:uiPriority w:val="99"/>
    <w:rsid w:val="00FE5304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0">
    <w:name w:val="Основний текст + Курсив1"/>
    <w:uiPriority w:val="99"/>
    <w:rsid w:val="00FE5304"/>
    <w:rPr>
      <w:rFonts w:ascii="Times New Roman" w:hAnsi="Times New Roman" w:cs="Times New Roman" w:hint="default"/>
      <w:i/>
      <w:iCs/>
      <w:sz w:val="26"/>
      <w:szCs w:val="26"/>
      <w:shd w:val="clear" w:color="auto" w:fill="FFFFFF"/>
      <w:lang w:val="de-DE" w:eastAsia="de-DE"/>
    </w:rPr>
  </w:style>
  <w:style w:type="character" w:customStyle="1" w:styleId="apple-converted-space">
    <w:name w:val="apple-converted-space"/>
    <w:basedOn w:val="a0"/>
    <w:rsid w:val="00FE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Samsonova</dc:creator>
  <cp:keywords/>
  <dc:description/>
  <cp:lastModifiedBy>Yuliia Romaniuk</cp:lastModifiedBy>
  <cp:revision>3</cp:revision>
  <dcterms:created xsi:type="dcterms:W3CDTF">2021-08-09T14:15:00Z</dcterms:created>
  <dcterms:modified xsi:type="dcterms:W3CDTF">2021-08-30T08:49:00Z</dcterms:modified>
</cp:coreProperties>
</file>