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E862E" w14:textId="77777777" w:rsidR="002B74D6" w:rsidRPr="002B74D6" w:rsidRDefault="002B74D6" w:rsidP="002B7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B74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ІНСТРУКЦІЯ</w:t>
      </w:r>
    </w:p>
    <w:p w14:paraId="62FE667B" w14:textId="77777777" w:rsidR="002B74D6" w:rsidRPr="002B74D6" w:rsidRDefault="002B74D6" w:rsidP="002B7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4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для медичного застосування лікарського засобу</w:t>
      </w:r>
    </w:p>
    <w:p w14:paraId="54AE595E" w14:textId="77777777" w:rsidR="002B74D6" w:rsidRPr="002B74D6" w:rsidRDefault="002B74D6" w:rsidP="002B7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3FA75F70" w14:textId="77777777" w:rsidR="002B74D6" w:rsidRPr="002B74D6" w:rsidRDefault="002B74D6" w:rsidP="002B74D6">
      <w:pPr>
        <w:tabs>
          <w:tab w:val="left" w:pos="-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B74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ТРОМБОЦИД</w:t>
      </w:r>
    </w:p>
    <w:p w14:paraId="130521EF" w14:textId="77777777" w:rsidR="002B74D6" w:rsidRPr="002B74D6" w:rsidRDefault="002B74D6" w:rsidP="002B74D6">
      <w:pPr>
        <w:tabs>
          <w:tab w:val="left" w:pos="-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B74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(THROMBOCID</w:t>
      </w:r>
      <w:r w:rsidRPr="002B74D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uk-UA" w:eastAsia="ru-RU"/>
        </w:rPr>
        <w:sym w:font="Symbol" w:char="F0E2"/>
      </w:r>
      <w:r w:rsidRPr="002B74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</w:t>
      </w:r>
    </w:p>
    <w:p w14:paraId="0718D41F" w14:textId="77777777" w:rsidR="002B74D6" w:rsidRPr="002B74D6" w:rsidRDefault="002B74D6" w:rsidP="002B74D6">
      <w:pPr>
        <w:tabs>
          <w:tab w:val="left" w:pos="-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2B74D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Склад:</w:t>
      </w:r>
    </w:p>
    <w:p w14:paraId="5E8E6581" w14:textId="77777777" w:rsidR="002B74D6" w:rsidRPr="002B74D6" w:rsidRDefault="002B74D6" w:rsidP="002B74D6">
      <w:pPr>
        <w:overflowPunct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4D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діюча речовина: </w:t>
      </w:r>
      <w:proofErr w:type="spellStart"/>
      <w:r w:rsidRPr="002B7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pentosan</w:t>
      </w:r>
      <w:proofErr w:type="spellEnd"/>
      <w:r w:rsidRPr="002B7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B7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polysul</w:t>
      </w:r>
      <w:proofErr w:type="spellEnd"/>
      <w:r w:rsidRPr="002B74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proofErr w:type="spellStart"/>
      <w:r w:rsidRPr="002B7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ate</w:t>
      </w:r>
      <w:proofErr w:type="spellEnd"/>
      <w:r w:rsidRPr="002B7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B7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sodium</w:t>
      </w:r>
      <w:proofErr w:type="spellEnd"/>
      <w:r w:rsidRPr="002B7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17D8E134" w14:textId="77777777" w:rsidR="002B74D6" w:rsidRPr="002B74D6" w:rsidRDefault="002B74D6" w:rsidP="002B74D6">
      <w:pPr>
        <w:overflowPunct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 г гелю містить 15 мг </w:t>
      </w:r>
      <w:proofErr w:type="spellStart"/>
      <w:r w:rsidRPr="002B7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пентозану</w:t>
      </w:r>
      <w:proofErr w:type="spellEnd"/>
      <w:r w:rsidRPr="002B7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B7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полісульфату</w:t>
      </w:r>
      <w:proofErr w:type="spellEnd"/>
      <w:r w:rsidRPr="002B7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натрієвої солі;</w:t>
      </w:r>
    </w:p>
    <w:p w14:paraId="76444B79" w14:textId="77777777" w:rsidR="002B74D6" w:rsidRPr="002B74D6" w:rsidRDefault="002B74D6" w:rsidP="002B74D6">
      <w:pPr>
        <w:overflowPunct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4D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допоміжні речовини:</w:t>
      </w:r>
      <w:r w:rsidRPr="002B7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вода очищена, спирт </w:t>
      </w:r>
      <w:proofErr w:type="spellStart"/>
      <w:r w:rsidRPr="002B7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ізопропіловий</w:t>
      </w:r>
      <w:proofErr w:type="spellEnd"/>
      <w:r w:rsidRPr="002B7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2B7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триетаноламін</w:t>
      </w:r>
      <w:proofErr w:type="spellEnd"/>
      <w:r w:rsidRPr="002B7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2B7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карбомер</w:t>
      </w:r>
      <w:proofErr w:type="spellEnd"/>
      <w:r w:rsidRPr="002B7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олія розмаринова, олія гірської сосни, олія меліси.</w:t>
      </w:r>
    </w:p>
    <w:p w14:paraId="35105B04" w14:textId="77777777" w:rsidR="002B74D6" w:rsidRPr="002B74D6" w:rsidRDefault="002B74D6" w:rsidP="002B74D6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de-DE"/>
        </w:rPr>
      </w:pPr>
    </w:p>
    <w:p w14:paraId="4F807E3F" w14:textId="77777777" w:rsidR="002B74D6" w:rsidRPr="002B74D6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4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Лікарська форма. </w:t>
      </w:r>
      <w:r w:rsidRPr="002B7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Гель.</w:t>
      </w:r>
    </w:p>
    <w:p w14:paraId="0F780FE8" w14:textId="77777777" w:rsidR="002B74D6" w:rsidRPr="002B74D6" w:rsidRDefault="002B74D6" w:rsidP="002B74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4D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Основні фізико-хімічні властивості:</w:t>
      </w:r>
      <w:r w:rsidRPr="002B7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прозорий безбарвний гель з приємним запахом.</w:t>
      </w:r>
    </w:p>
    <w:p w14:paraId="0C06E2AB" w14:textId="77777777" w:rsidR="002B74D6" w:rsidRPr="002B74D6" w:rsidRDefault="002B74D6" w:rsidP="002B74D6">
      <w:pPr>
        <w:tabs>
          <w:tab w:val="left" w:pos="0"/>
          <w:tab w:val="left" w:pos="9689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F32741D" w14:textId="77777777" w:rsidR="002B74D6" w:rsidRPr="002B74D6" w:rsidRDefault="002B74D6" w:rsidP="002B74D6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proofErr w:type="spellStart"/>
      <w:r w:rsidRPr="002B74D6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Фармакотерапевтична</w:t>
      </w:r>
      <w:proofErr w:type="spellEnd"/>
      <w:r w:rsidRPr="002B74D6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група.</w:t>
      </w:r>
    </w:p>
    <w:p w14:paraId="4D9D6D01" w14:textId="77777777" w:rsidR="002B74D6" w:rsidRPr="002B74D6" w:rsidRDefault="002B74D6" w:rsidP="002B74D6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proofErr w:type="spellStart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Ангіопротектори</w:t>
      </w:r>
      <w:proofErr w:type="spellEnd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. Засоби, що застосовуються при варикозному розширенні вен. Гепарин або </w:t>
      </w:r>
      <w:proofErr w:type="spellStart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гепариноїди</w:t>
      </w:r>
      <w:proofErr w:type="spellEnd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для місцевого застосування. </w:t>
      </w:r>
      <w:proofErr w:type="spellStart"/>
      <w:r w:rsidRPr="002B74D6">
        <w:rPr>
          <w:rFonts w:ascii="Times New Roman" w:eastAsia="Times New Roman" w:hAnsi="Times New Roman" w:cs="Arial"/>
          <w:iCs/>
          <w:sz w:val="24"/>
          <w:szCs w:val="20"/>
          <w:lang w:val="uk-UA" w:eastAsia="ru-RU"/>
        </w:rPr>
        <w:t>Пентозану</w:t>
      </w:r>
      <w:proofErr w:type="spellEnd"/>
      <w:r w:rsidRPr="002B74D6">
        <w:rPr>
          <w:rFonts w:ascii="Times New Roman" w:eastAsia="Times New Roman" w:hAnsi="Times New Roman" w:cs="Arial"/>
          <w:iCs/>
          <w:sz w:val="24"/>
          <w:szCs w:val="20"/>
          <w:lang w:val="uk-UA" w:eastAsia="ru-RU"/>
        </w:rPr>
        <w:t xml:space="preserve"> </w:t>
      </w:r>
      <w:proofErr w:type="spellStart"/>
      <w:r w:rsidRPr="002B74D6">
        <w:rPr>
          <w:rFonts w:ascii="Times New Roman" w:eastAsia="Times New Roman" w:hAnsi="Times New Roman" w:cs="Arial"/>
          <w:iCs/>
          <w:sz w:val="24"/>
          <w:szCs w:val="20"/>
          <w:lang w:val="uk-UA" w:eastAsia="ru-RU"/>
        </w:rPr>
        <w:t>полісульфат</w:t>
      </w:r>
      <w:proofErr w:type="spellEnd"/>
      <w:r w:rsidRPr="002B74D6">
        <w:rPr>
          <w:rFonts w:ascii="Times New Roman" w:eastAsia="Times New Roman" w:hAnsi="Times New Roman" w:cs="Arial"/>
          <w:iCs/>
          <w:sz w:val="24"/>
          <w:szCs w:val="20"/>
          <w:lang w:val="uk-UA" w:eastAsia="ru-RU"/>
        </w:rPr>
        <w:t xml:space="preserve"> натрієвої солі.</w:t>
      </w:r>
    </w:p>
    <w:p w14:paraId="2B6B8B91" w14:textId="77777777" w:rsidR="002B74D6" w:rsidRPr="002B74D6" w:rsidRDefault="002B74D6" w:rsidP="002B74D6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Код ATХ C05B A04.</w:t>
      </w:r>
    </w:p>
    <w:p w14:paraId="57D60919" w14:textId="77777777" w:rsidR="002B74D6" w:rsidRPr="002B74D6" w:rsidRDefault="002B74D6" w:rsidP="002B74D6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ru-RU"/>
        </w:rPr>
      </w:pPr>
    </w:p>
    <w:p w14:paraId="4927F29A" w14:textId="77777777" w:rsidR="002B74D6" w:rsidRPr="002B74D6" w:rsidRDefault="002B74D6" w:rsidP="002B74D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  <w:r w:rsidRPr="002B74D6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>Фармакологічні властивості.</w:t>
      </w:r>
    </w:p>
    <w:p w14:paraId="1C92D4B7" w14:textId="77777777" w:rsidR="002B74D6" w:rsidRPr="002B74D6" w:rsidRDefault="002B74D6" w:rsidP="002B74D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proofErr w:type="spellStart"/>
      <w:r w:rsidRPr="002B74D6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Фармакодинаміка</w:t>
      </w:r>
      <w:proofErr w:type="spellEnd"/>
      <w:r w:rsidRPr="002B74D6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.</w:t>
      </w:r>
    </w:p>
    <w:p w14:paraId="47F730FE" w14:textId="77777777" w:rsidR="002B74D6" w:rsidRPr="002B74D6" w:rsidRDefault="002B74D6" w:rsidP="002B74D6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Системна дія </w:t>
      </w:r>
      <w:proofErr w:type="spellStart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пентозану</w:t>
      </w:r>
      <w:proofErr w:type="spellEnd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proofErr w:type="spellStart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полісульфату</w:t>
      </w:r>
      <w:proofErr w:type="spellEnd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натрієвої солі на гемостаз відбувається за три етапи.</w:t>
      </w:r>
    </w:p>
    <w:p w14:paraId="711F692C" w14:textId="77777777" w:rsidR="002B74D6" w:rsidRPr="002B74D6" w:rsidRDefault="002B74D6" w:rsidP="002B74D6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По-перше, препарат інгібує агрегацію тромбоцитів, індуковану колагеном або </w:t>
      </w:r>
      <w:proofErr w:type="spellStart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аденозиндифосфатом</w:t>
      </w:r>
      <w:proofErr w:type="spellEnd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.</w:t>
      </w:r>
    </w:p>
    <w:p w14:paraId="5D12A236" w14:textId="77777777" w:rsidR="002B74D6" w:rsidRPr="002B74D6" w:rsidRDefault="002B74D6" w:rsidP="002B74D6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По-друге, </w:t>
      </w:r>
      <w:proofErr w:type="spellStart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пентозану</w:t>
      </w:r>
      <w:proofErr w:type="spellEnd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proofErr w:type="spellStart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полісульфату</w:t>
      </w:r>
      <w:proofErr w:type="spellEnd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натрієва сіль впливає на згортання крові, головним чином завдяки AT III-незалежному пригніченню </w:t>
      </w:r>
      <w:proofErr w:type="spellStart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фактора</w:t>
      </w:r>
      <w:proofErr w:type="spellEnd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згортання крові </w:t>
      </w:r>
      <w:proofErr w:type="spellStart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Xa</w:t>
      </w:r>
      <w:proofErr w:type="spellEnd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, взаємодіє з фактором </w:t>
      </w:r>
      <w:proofErr w:type="spellStart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VIIIa</w:t>
      </w:r>
      <w:proofErr w:type="spellEnd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та інгібує активацію </w:t>
      </w:r>
      <w:proofErr w:type="spellStart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фактора</w:t>
      </w:r>
      <w:proofErr w:type="spellEnd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V. На відміну від гепарину, препарат чинить незначну дію на активність тромбіну.</w:t>
      </w:r>
    </w:p>
    <w:p w14:paraId="2EE5DABE" w14:textId="77777777" w:rsidR="002B74D6" w:rsidRPr="002B74D6" w:rsidRDefault="002B74D6" w:rsidP="002B74D6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По-третє, </w:t>
      </w:r>
      <w:proofErr w:type="spellStart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пентозану</w:t>
      </w:r>
      <w:proofErr w:type="spellEnd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proofErr w:type="spellStart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полісульфату</w:t>
      </w:r>
      <w:proofErr w:type="spellEnd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натрієва сіль впливає на фібриноліз: вона вивільняє t-PA із ендотелію, активує фактор XII і модифікує продукцію фібрину. Ці ефекти стимулюють вивільнення тромбіну.</w:t>
      </w:r>
    </w:p>
    <w:p w14:paraId="43057ECB" w14:textId="77777777" w:rsidR="002B74D6" w:rsidRPr="002B74D6" w:rsidRDefault="002B74D6" w:rsidP="002B74D6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Крім того, </w:t>
      </w:r>
      <w:proofErr w:type="spellStart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пентозану</w:t>
      </w:r>
      <w:proofErr w:type="spellEnd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proofErr w:type="spellStart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полісульфату</w:t>
      </w:r>
      <w:proofErr w:type="spellEnd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натрієва сіль чинить системну дію на метаболізм жирів, вивільняючи </w:t>
      </w:r>
      <w:proofErr w:type="spellStart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ліпопротеїнліпазу</w:t>
      </w:r>
      <w:proofErr w:type="spellEnd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з клітин ендотелію та печінки і знижуючи рівень загального холестерину, загальних жирів і </w:t>
      </w:r>
      <w:proofErr w:type="spellStart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тригліцеридів</w:t>
      </w:r>
      <w:proofErr w:type="spellEnd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в крові.</w:t>
      </w:r>
    </w:p>
    <w:p w14:paraId="44DE0E6F" w14:textId="77777777" w:rsidR="002B74D6" w:rsidRPr="002B74D6" w:rsidRDefault="002B74D6" w:rsidP="002B74D6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Механізм дії </w:t>
      </w:r>
      <w:proofErr w:type="spellStart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гепариноїду</w:t>
      </w:r>
      <w:proofErr w:type="spellEnd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, </w:t>
      </w:r>
      <w:proofErr w:type="spellStart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пентозану</w:t>
      </w:r>
      <w:proofErr w:type="spellEnd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proofErr w:type="spellStart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полісульфату</w:t>
      </w:r>
      <w:proofErr w:type="spellEnd"/>
      <w:r w:rsidRPr="002B74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натрієвої солі, порівнянний з механізмом дії гепарину та інших речовин, подібних до гепарину.</w:t>
      </w:r>
    </w:p>
    <w:p w14:paraId="15DC8641" w14:textId="77777777" w:rsidR="002B74D6" w:rsidRPr="00D44C0E" w:rsidRDefault="002B74D6" w:rsidP="002B74D6">
      <w:pPr>
        <w:widowControl w:val="0"/>
        <w:tabs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proofErr w:type="spellStart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Пентозану</w:t>
      </w:r>
      <w:proofErr w:type="spellEnd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полісульфату</w:t>
      </w:r>
      <w:proofErr w:type="spellEnd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натрієва сіль в результаті місцевої дії посилює капілярний кровообіг в уражених тканинах завдяки її </w:t>
      </w:r>
      <w:proofErr w:type="spellStart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фібринолітичній</w:t>
      </w:r>
      <w:proofErr w:type="spellEnd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та </w:t>
      </w:r>
      <w:proofErr w:type="spellStart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антикоагулянтній</w:t>
      </w:r>
      <w:proofErr w:type="spellEnd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активності. </w:t>
      </w:r>
      <w:proofErr w:type="spellStart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Пентозану</w:t>
      </w:r>
      <w:proofErr w:type="spellEnd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полісульфату</w:t>
      </w:r>
      <w:proofErr w:type="spellEnd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натрієва сіль чинить протизапальну дію, пригнічує </w:t>
      </w:r>
      <w:proofErr w:type="spellStart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гіалуронідазу</w:t>
      </w:r>
      <w:proofErr w:type="spellEnd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, зменшує підвищену проникність судин в уражених тканинах і зменшує набряк. Ефірні олії виявляють додатковий </w:t>
      </w:r>
      <w:proofErr w:type="spellStart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спазмолітичний</w:t>
      </w:r>
      <w:proofErr w:type="spellEnd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ефект і полегшують біль в ураженій ділянці.</w:t>
      </w:r>
    </w:p>
    <w:p w14:paraId="48171B7E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 w:rsidRPr="00D44C0E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Фармакокінетика.</w:t>
      </w:r>
    </w:p>
    <w:p w14:paraId="39868D3C" w14:textId="77777777" w:rsidR="002B74D6" w:rsidRPr="00D44C0E" w:rsidRDefault="002B74D6" w:rsidP="002B74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  <w:r w:rsidRPr="00D44C0E">
        <w:rPr>
          <w:rFonts w:ascii="Times New Roman" w:eastAsia="Times New Roman" w:hAnsi="Times New Roman" w:cs="Times New Roman"/>
          <w:i/>
          <w:iCs/>
          <w:sz w:val="24"/>
          <w:szCs w:val="24"/>
          <w:lang w:val="uk-UA" w:bidi="en-US"/>
        </w:rPr>
        <w:t>Абсорбція</w:t>
      </w:r>
    </w:p>
    <w:p w14:paraId="79E5162D" w14:textId="77777777" w:rsidR="002B74D6" w:rsidRPr="00D44C0E" w:rsidRDefault="002B74D6" w:rsidP="002B74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підшкірному введенні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пентозану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полісульфату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натрієва сіль швидко і майже повністю всмоктується. Однак при дозі 75 мг лікарський засіб піддається досить інтенсивному ефекту першого проходження.</w:t>
      </w:r>
    </w:p>
    <w:p w14:paraId="6490C551" w14:textId="77777777" w:rsidR="002B74D6" w:rsidRPr="00D44C0E" w:rsidRDefault="002B74D6" w:rsidP="002B74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пероральному застосуванні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пентозану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полісульфату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натрієва сіль швидко всмоктується, але лише в незначній мірі і піддається інтенсивному ефекту першого проходження. Ступінь всмоктування 3,3–3,5 % від використаної дози, що зріс приблизно до 11 % протягом тижня після багаторазового введення, був досягнутий при дозі 2–10 мг/кг 3Н-пентозану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полісульфату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натрієвої солі.</w:t>
      </w:r>
    </w:p>
    <w:p w14:paraId="20EE8FC4" w14:textId="77777777" w:rsidR="002B74D6" w:rsidRPr="00D44C0E" w:rsidRDefault="002B74D6" w:rsidP="002B74D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uk-UA" w:bidi="en-US"/>
        </w:rPr>
      </w:pPr>
      <w:r w:rsidRPr="00D44C0E">
        <w:rPr>
          <w:rFonts w:ascii="Times New Roman" w:eastAsia="Times New Roman" w:hAnsi="Times New Roman" w:cs="Times New Roman"/>
          <w:i/>
          <w:iCs/>
          <w:sz w:val="24"/>
          <w:szCs w:val="24"/>
          <w:lang w:val="uk-UA" w:bidi="en-US"/>
        </w:rPr>
        <w:t>Розподіл</w:t>
      </w:r>
    </w:p>
    <w:p w14:paraId="7B0E15C9" w14:textId="77777777" w:rsidR="002B74D6" w:rsidRPr="00D44C0E" w:rsidRDefault="002B74D6" w:rsidP="002B74D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uk-UA" w:bidi="en-US"/>
        </w:rPr>
      </w:pPr>
      <w:r w:rsidRPr="00D44C0E">
        <w:rPr>
          <w:rFonts w:ascii="Times New Roman" w:eastAsia="Arial Unicode MS" w:hAnsi="Times New Roman" w:cs="Times New Roman"/>
          <w:sz w:val="24"/>
          <w:szCs w:val="24"/>
          <w:lang w:val="uk-UA" w:bidi="en-US"/>
        </w:rPr>
        <w:t>Дослідження на тваринах, яким внутрішньовенно вводили 3Н-</w:t>
      </w:r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пентозану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полісульфату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натрієву сіль</w:t>
      </w:r>
      <w:r w:rsidRPr="00D44C0E">
        <w:rPr>
          <w:rFonts w:ascii="Times New Roman" w:eastAsia="Arial Unicode MS" w:hAnsi="Times New Roman" w:cs="Times New Roman"/>
          <w:sz w:val="24"/>
          <w:szCs w:val="24"/>
          <w:lang w:val="uk-UA" w:bidi="en-US"/>
        </w:rPr>
        <w:t>, показали, що п</w:t>
      </w:r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bidi="en-US"/>
        </w:rPr>
        <w:t xml:space="preserve">репарат </w:t>
      </w:r>
      <w:r w:rsidRPr="00D44C0E">
        <w:rPr>
          <w:rFonts w:ascii="Times New Roman" w:eastAsia="Arial Unicode MS" w:hAnsi="Times New Roman" w:cs="Times New Roman"/>
          <w:sz w:val="24"/>
          <w:szCs w:val="24"/>
          <w:lang w:val="uk-UA" w:bidi="en-US"/>
        </w:rPr>
        <w:t xml:space="preserve">взаємодіє з епітеліальними клітинами сечостатевого тракту і збагачується епітелієм судинної системи. Найвищі концентрації радіоактивності були виявлені в печінці і селезінці, тоді як в нирках, легенях, шкірі і кістковому мозку вони були набагато нижчими. Гістологічні дослідження підтвердили, що </w:t>
      </w:r>
      <w:proofErr w:type="spellStart"/>
      <w:r w:rsidRPr="00D44C0E">
        <w:rPr>
          <w:rFonts w:ascii="Times New Roman" w:eastAsia="Arial Unicode MS" w:hAnsi="Times New Roman" w:cs="Times New Roman"/>
          <w:sz w:val="24"/>
          <w:szCs w:val="24"/>
          <w:lang w:val="uk-UA" w:bidi="en-US"/>
        </w:rPr>
        <w:t>пентозану</w:t>
      </w:r>
      <w:proofErr w:type="spellEnd"/>
      <w:r w:rsidRPr="00D44C0E">
        <w:rPr>
          <w:rFonts w:ascii="Times New Roman" w:eastAsia="Arial Unicode MS" w:hAnsi="Times New Roman" w:cs="Times New Roman"/>
          <w:sz w:val="24"/>
          <w:szCs w:val="24"/>
          <w:lang w:val="uk-UA" w:bidi="en-US"/>
        </w:rPr>
        <w:t xml:space="preserve"> </w:t>
      </w:r>
      <w:proofErr w:type="spellStart"/>
      <w:r w:rsidRPr="00D44C0E">
        <w:rPr>
          <w:rFonts w:ascii="Times New Roman" w:eastAsia="Arial Unicode MS" w:hAnsi="Times New Roman" w:cs="Times New Roman"/>
          <w:sz w:val="24"/>
          <w:szCs w:val="24"/>
          <w:lang w:val="uk-UA" w:bidi="en-US"/>
        </w:rPr>
        <w:t>полісульфату</w:t>
      </w:r>
      <w:proofErr w:type="spellEnd"/>
      <w:r w:rsidRPr="00D44C0E">
        <w:rPr>
          <w:rFonts w:ascii="Times New Roman" w:eastAsia="Arial Unicode MS" w:hAnsi="Times New Roman" w:cs="Times New Roman"/>
          <w:sz w:val="24"/>
          <w:szCs w:val="24"/>
          <w:lang w:val="uk-UA" w:bidi="en-US"/>
        </w:rPr>
        <w:t xml:space="preserve"> натрієва сіль, подібно до гепарину, в основному поглинається клітинами </w:t>
      </w:r>
      <w:proofErr w:type="spellStart"/>
      <w:r w:rsidRPr="00D44C0E">
        <w:rPr>
          <w:rFonts w:ascii="Times New Roman" w:eastAsia="Arial Unicode MS" w:hAnsi="Times New Roman" w:cs="Times New Roman"/>
          <w:sz w:val="24"/>
          <w:szCs w:val="24"/>
          <w:lang w:val="uk-UA" w:bidi="en-US"/>
        </w:rPr>
        <w:t>ретикулогістоцитарної</w:t>
      </w:r>
      <w:proofErr w:type="spellEnd"/>
      <w:r w:rsidRPr="00D44C0E">
        <w:rPr>
          <w:rFonts w:ascii="Times New Roman" w:eastAsia="Arial Unicode MS" w:hAnsi="Times New Roman" w:cs="Times New Roman"/>
          <w:sz w:val="24"/>
          <w:szCs w:val="24"/>
          <w:lang w:val="uk-UA" w:bidi="en-US"/>
        </w:rPr>
        <w:t xml:space="preserve"> системи. Гамма-</w:t>
      </w:r>
      <w:proofErr w:type="spellStart"/>
      <w:r w:rsidRPr="00D44C0E">
        <w:rPr>
          <w:rFonts w:ascii="Times New Roman" w:eastAsia="Arial Unicode MS" w:hAnsi="Times New Roman" w:cs="Times New Roman"/>
          <w:sz w:val="24"/>
          <w:szCs w:val="24"/>
          <w:lang w:val="uk-UA" w:bidi="en-US"/>
        </w:rPr>
        <w:t>сцинтиграфія</w:t>
      </w:r>
      <w:proofErr w:type="spellEnd"/>
      <w:r w:rsidRPr="00D44C0E">
        <w:rPr>
          <w:rFonts w:ascii="Times New Roman" w:eastAsia="Arial Unicode MS" w:hAnsi="Times New Roman" w:cs="Times New Roman"/>
          <w:sz w:val="24"/>
          <w:szCs w:val="24"/>
          <w:lang w:val="uk-UA" w:bidi="en-US"/>
        </w:rPr>
        <w:t xml:space="preserve">, проведена добровольцям після введення 125І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пентозану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полісульфату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натрієвої солі</w:t>
      </w:r>
      <w:r w:rsidRPr="00D44C0E">
        <w:rPr>
          <w:rFonts w:ascii="Times New Roman" w:eastAsia="Arial Unicode MS" w:hAnsi="Times New Roman" w:cs="Times New Roman"/>
          <w:sz w:val="24"/>
          <w:szCs w:val="24"/>
          <w:lang w:val="uk-UA" w:bidi="en-US"/>
        </w:rPr>
        <w:t xml:space="preserve">, підтвердила, що препарат накопичується в печінці та селезінці. Він має незначну спорідненість з еритроцитами і не може </w:t>
      </w:r>
      <w:r w:rsidRPr="00D44C0E">
        <w:rPr>
          <w:rFonts w:ascii="Times New Roman" w:eastAsia="Arial Unicode MS" w:hAnsi="Times New Roman" w:cs="Times New Roman"/>
          <w:sz w:val="24"/>
          <w:szCs w:val="24"/>
          <w:lang w:val="uk-UA" w:bidi="en-US"/>
        </w:rPr>
        <w:lastRenderedPageBreak/>
        <w:t>перетнути плацентарний бар’єр.</w:t>
      </w:r>
    </w:p>
    <w:p w14:paraId="6666BA13" w14:textId="77777777" w:rsidR="002B74D6" w:rsidRPr="00D44C0E" w:rsidRDefault="002B74D6" w:rsidP="002B74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bidi="en-US"/>
        </w:rPr>
      </w:pPr>
      <w:r w:rsidRPr="00D44C0E">
        <w:rPr>
          <w:rFonts w:ascii="Times New Roman" w:eastAsia="Times New Roman" w:hAnsi="Times New Roman" w:cs="Times New Roman"/>
          <w:i/>
          <w:iCs/>
          <w:sz w:val="24"/>
          <w:szCs w:val="24"/>
          <w:lang w:val="uk-UA" w:bidi="en-US"/>
        </w:rPr>
        <w:t>Метаболізм</w:t>
      </w:r>
    </w:p>
    <w:p w14:paraId="0DFD6710" w14:textId="77777777" w:rsidR="002B74D6" w:rsidRPr="00D44C0E" w:rsidRDefault="002B74D6" w:rsidP="002B74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bidi="en-US"/>
        </w:rPr>
      </w:pP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Пентозану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полісульфату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натрієва сіль </w:t>
      </w:r>
      <w:proofErr w:type="spellStart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bidi="en-US"/>
        </w:rPr>
        <w:t>метаболізується</w:t>
      </w:r>
      <w:proofErr w:type="spellEnd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bidi="en-US"/>
        </w:rPr>
        <w:t xml:space="preserve"> головним чином у печінці і селезінці, а також частково у нирках. Препарат спочатку </w:t>
      </w:r>
      <w:proofErr w:type="spellStart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bidi="en-US"/>
        </w:rPr>
        <w:t>десульфатується</w:t>
      </w:r>
      <w:proofErr w:type="spellEnd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bidi="en-US"/>
        </w:rPr>
        <w:t xml:space="preserve"> до </w:t>
      </w:r>
      <w:proofErr w:type="spellStart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bidi="en-US"/>
        </w:rPr>
        <w:t>пентозану</w:t>
      </w:r>
      <w:proofErr w:type="spellEnd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bidi="en-US"/>
        </w:rPr>
        <w:t xml:space="preserve"> і одночасно </w:t>
      </w:r>
      <w:proofErr w:type="spellStart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bidi="en-US"/>
        </w:rPr>
        <w:t>деполімеризується</w:t>
      </w:r>
      <w:proofErr w:type="spellEnd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bidi="en-US"/>
        </w:rPr>
        <w:t xml:space="preserve"> (в нирках) з утворенням низькомолекулярних фракцій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пентозану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полісульфату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натрієвої солі</w:t>
      </w:r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bidi="en-US"/>
        </w:rPr>
        <w:t xml:space="preserve">, які також </w:t>
      </w:r>
      <w:proofErr w:type="spellStart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bidi="en-US"/>
        </w:rPr>
        <w:t>десульфатуються</w:t>
      </w:r>
      <w:proofErr w:type="spellEnd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bidi="en-US"/>
        </w:rPr>
        <w:t xml:space="preserve">. І </w:t>
      </w:r>
      <w:proofErr w:type="spellStart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bidi="en-US"/>
        </w:rPr>
        <w:t>десульфатація</w:t>
      </w:r>
      <w:proofErr w:type="spellEnd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bidi="en-US"/>
        </w:rPr>
        <w:t xml:space="preserve">, і </w:t>
      </w:r>
      <w:proofErr w:type="spellStart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bidi="en-US"/>
        </w:rPr>
        <w:t>деполімеризація</w:t>
      </w:r>
      <w:proofErr w:type="spellEnd"/>
      <w:r w:rsidRPr="00D44C0E">
        <w:rPr>
          <w:rFonts w:ascii="Times New Roman" w:eastAsia="Times New Roman" w:hAnsi="Times New Roman" w:cs="Times New Roman"/>
          <w:iCs/>
          <w:sz w:val="24"/>
          <w:szCs w:val="24"/>
          <w:lang w:val="uk-UA" w:bidi="en-US"/>
        </w:rPr>
        <w:t xml:space="preserve"> є процесами, які можна насичувати шляхом збільшення дози.</w:t>
      </w:r>
    </w:p>
    <w:p w14:paraId="4D678377" w14:textId="77777777" w:rsidR="002B74D6" w:rsidRPr="00D44C0E" w:rsidRDefault="002B74D6" w:rsidP="002B74D6">
      <w:pPr>
        <w:widowControl w:val="0"/>
        <w:tabs>
          <w:tab w:val="left" w:pos="689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k-UA" w:bidi="en-US"/>
        </w:rPr>
      </w:pPr>
      <w:r w:rsidRPr="00D44C0E">
        <w:rPr>
          <w:rFonts w:ascii="Times New Roman" w:eastAsia="Times New Roman" w:hAnsi="Times New Roman" w:cs="Times New Roman"/>
          <w:i/>
          <w:iCs/>
          <w:sz w:val="24"/>
          <w:szCs w:val="24"/>
          <w:lang w:val="uk-UA" w:bidi="en-US"/>
        </w:rPr>
        <w:t>Виведення</w:t>
      </w:r>
    </w:p>
    <w:p w14:paraId="172B3DFB" w14:textId="77777777" w:rsidR="002B74D6" w:rsidRPr="00D44C0E" w:rsidRDefault="002B74D6" w:rsidP="002B74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Через значну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тропність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тканин, що накопичують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пентозану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полісульфату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натрієву сіль, препарат спочатку дуже швидко виводиться з плазми. При внутрішньовенному введенні в дозах 1–100 мг період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напіввиведення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збільшується з 7 до 55 хвилин зі збільшенням насичення структур, що зберігають цю сполуку. Кінцевий період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напіввиведення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пентозану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полісульфату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натрієвої солі становить 24 години і не залежить від дози в клінічно значущому діапазоні доз.</w:t>
      </w:r>
    </w:p>
    <w:p w14:paraId="70F5802D" w14:textId="77777777" w:rsidR="002B74D6" w:rsidRPr="00D44C0E" w:rsidRDefault="002B74D6" w:rsidP="002B74D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k-UA" w:bidi="en-US"/>
        </w:rPr>
      </w:pPr>
      <w:r w:rsidRPr="00D44C0E">
        <w:rPr>
          <w:rFonts w:ascii="Times New Roman" w:eastAsia="Times New Roman" w:hAnsi="Times New Roman" w:cs="Times New Roman"/>
          <w:i/>
          <w:iCs/>
          <w:sz w:val="24"/>
          <w:szCs w:val="24"/>
          <w:lang w:val="uk-UA" w:bidi="en-US"/>
        </w:rPr>
        <w:t>Екскреція</w:t>
      </w:r>
    </w:p>
    <w:p w14:paraId="15432ED1" w14:textId="77777777" w:rsidR="002B74D6" w:rsidRPr="00D44C0E" w:rsidRDefault="002B74D6" w:rsidP="002B74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Пентозану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полісульфату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натрієва сіль і її метаболіти виводяться головним чином нирками. Екскреція з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жовчю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має другорядне значення: після 30-хвилинної внутрішньовенної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інфузії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75 мг 3Н-пентозану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полісульфату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натрієвої солі було виявлено, що кумулятивна ниркова екскреція становить 27±3 % введеної дози, тоді як кумулятивна фекальна екскреція становить всього 4 ± 5 %.</w:t>
      </w:r>
    </w:p>
    <w:p w14:paraId="4D67D421" w14:textId="77777777" w:rsidR="002B74D6" w:rsidRPr="00D44C0E" w:rsidRDefault="002B74D6" w:rsidP="002B74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D44C0E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Ознаки, характерні для цього класу речовин</w:t>
      </w:r>
    </w:p>
    <w:p w14:paraId="2341C56A" w14:textId="77777777" w:rsidR="002B74D6" w:rsidRPr="00D44C0E" w:rsidRDefault="002B74D6" w:rsidP="002B74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Фармакокінетика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пентозану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полісульфату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натрієвої солі</w:t>
      </w:r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еквівалентна фармакокінетиці гепарину та інших відповідних лікарських засобів аналогічної хімічної будови і з кількісної точки зору. Тобто накопичення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пентозану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полісульфату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натрієвої солі</w:t>
      </w:r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епітеліальних клітинах судин і в </w:t>
      </w:r>
      <w:proofErr w:type="spellStart"/>
      <w:r w:rsidRPr="00D44C0E">
        <w:rPr>
          <w:rFonts w:ascii="Times New Roman" w:eastAsia="Arial Unicode MS" w:hAnsi="Times New Roman" w:cs="Times New Roman"/>
          <w:sz w:val="24"/>
          <w:szCs w:val="24"/>
          <w:lang w:val="uk-UA"/>
        </w:rPr>
        <w:t>ретикулогістоцитарній</w:t>
      </w:r>
      <w:proofErr w:type="spellEnd"/>
      <w:r w:rsidRPr="00D44C0E">
        <w:rPr>
          <w:rFonts w:ascii="Times New Roman" w:eastAsia="Arial Unicode MS" w:hAnsi="Times New Roman" w:cs="Times New Roman"/>
          <w:sz w:val="24"/>
          <w:szCs w:val="24"/>
          <w:lang w:val="uk-UA"/>
        </w:rPr>
        <w:t xml:space="preserve"> </w:t>
      </w:r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системі є ознакою, характерною для цього класу речовин, а не тільки особливістю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пентозану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полісульфату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натрієвої солі</w:t>
      </w:r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Особливість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пентозану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полісульфату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натрієвої солі відіграє ту ж ключову роль при застосуванні до гепарину та низькомолекулярних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гепаринів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2D3F3BAA" w14:textId="77777777" w:rsidR="002B74D6" w:rsidRPr="00D44C0E" w:rsidRDefault="002B74D6" w:rsidP="002B74D6">
      <w:pPr>
        <w:widowControl w:val="0"/>
        <w:spacing w:after="1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k-UA" w:bidi="en-US"/>
        </w:rPr>
      </w:pPr>
      <w:proofErr w:type="spellStart"/>
      <w:r w:rsidRPr="00D44C0E">
        <w:rPr>
          <w:rFonts w:ascii="Times New Roman" w:eastAsia="Times New Roman" w:hAnsi="Times New Roman" w:cs="Times New Roman"/>
          <w:i/>
          <w:iCs/>
          <w:sz w:val="24"/>
          <w:szCs w:val="24"/>
          <w:lang w:val="uk-UA" w:bidi="en-US"/>
        </w:rPr>
        <w:t>Біодоступність</w:t>
      </w:r>
      <w:proofErr w:type="spellEnd"/>
    </w:p>
    <w:p w14:paraId="6DE0BF86" w14:textId="77777777" w:rsidR="002B74D6" w:rsidRPr="00D44C0E" w:rsidRDefault="002B74D6" w:rsidP="002B74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Внаслідок обширної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метаболізації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 першому проходженні рівень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біодоступності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пентозану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полісульфату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натрієвої солі є набагато нижчим її рівня абсорбції і становить близько 35 % після підшкірного введення 75 мг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пентозану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полісульфату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натрієвої солі. Після багаторазового перорального прийому таблеток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пентозану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полісульфату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натрієвої солі в дозі 700 мг на день рівень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біодоступності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через її низький рівень абсорбції і обширну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метаболізацію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 першому проходженні спочатку становить всього близько 0,4 % і збільшується приблизно до 3 % протягом двох тижнів. Після зовнішнього застосування рівень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біодоступності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пентозану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полісульфату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натрієвої солі аналогічний рівню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>біодоступності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 пероральному застосуванні.</w:t>
      </w:r>
    </w:p>
    <w:p w14:paraId="62205E8E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0ED85690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Клінічні характеристики.</w:t>
      </w:r>
    </w:p>
    <w:p w14:paraId="1C7D9826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Показання.</w:t>
      </w:r>
      <w:r w:rsidRPr="00D44C0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</w:p>
    <w:p w14:paraId="1942A85F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Місцеве симптоматичне лікування поверхневих тромбофлебітів.</w:t>
      </w:r>
    </w:p>
    <w:p w14:paraId="2D4211B0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5AAD6A39" w14:textId="77777777" w:rsidR="002B74D6" w:rsidRPr="00D44C0E" w:rsidRDefault="002B74D6" w:rsidP="002B74D6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Протипоказання.</w:t>
      </w:r>
    </w:p>
    <w:p w14:paraId="49D0EC04" w14:textId="77777777" w:rsidR="002B74D6" w:rsidRPr="00D44C0E" w:rsidRDefault="002B74D6" w:rsidP="002B74D6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Підвищена чутливість до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пентозану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полісульфату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натрієвої солі або до будь-якого іншого компонента лікарського засобу.</w:t>
      </w:r>
    </w:p>
    <w:p w14:paraId="6EFB3116" w14:textId="77777777" w:rsidR="002B74D6" w:rsidRPr="00D44C0E" w:rsidRDefault="002B74D6" w:rsidP="002B74D6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6"/>
          <w:szCs w:val="16"/>
          <w:lang w:val="uk-UA" w:eastAsia="ru-RU"/>
        </w:rPr>
      </w:pPr>
    </w:p>
    <w:p w14:paraId="35971ED1" w14:textId="77777777" w:rsidR="002B74D6" w:rsidRPr="00D44C0E" w:rsidRDefault="002B74D6" w:rsidP="002B74D6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uk-UA" w:eastAsia="ru-RU"/>
        </w:rPr>
      </w:pPr>
      <w:r w:rsidRPr="00D44C0E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uk-UA" w:eastAsia="ru-RU"/>
        </w:rPr>
        <w:t>Взаємодія з іншими лікарськими засобами та інші види взаємодій.</w:t>
      </w:r>
    </w:p>
    <w:p w14:paraId="0185FB4A" w14:textId="77777777" w:rsidR="002B74D6" w:rsidRPr="00D44C0E" w:rsidRDefault="002B74D6" w:rsidP="002B74D6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uk-UA" w:eastAsia="ru-RU"/>
        </w:rPr>
      </w:pPr>
      <w:r w:rsidRPr="00D44C0E">
        <w:rPr>
          <w:rFonts w:ascii="Times New Roman" w:eastAsia="Times New Roman" w:hAnsi="Times New Roman" w:cs="Times New Roman"/>
          <w:iCs/>
          <w:sz w:val="24"/>
          <w:szCs w:val="20"/>
          <w:lang w:val="uk-UA" w:eastAsia="ru-RU"/>
        </w:rPr>
        <w:t xml:space="preserve">Одночасне застосування лікарського засобу з гепарином або іншими антикоагулянтами може спричинити посилення їх </w:t>
      </w:r>
      <w:proofErr w:type="spellStart"/>
      <w:r w:rsidRPr="00D44C0E">
        <w:rPr>
          <w:rFonts w:ascii="Times New Roman" w:eastAsia="Times New Roman" w:hAnsi="Times New Roman" w:cs="Times New Roman"/>
          <w:iCs/>
          <w:sz w:val="24"/>
          <w:szCs w:val="20"/>
          <w:lang w:val="uk-UA" w:eastAsia="ru-RU"/>
        </w:rPr>
        <w:t>антикоагулянтної</w:t>
      </w:r>
      <w:proofErr w:type="spellEnd"/>
      <w:r w:rsidRPr="00D44C0E">
        <w:rPr>
          <w:rFonts w:ascii="Times New Roman" w:eastAsia="Times New Roman" w:hAnsi="Times New Roman" w:cs="Times New Roman"/>
          <w:iCs/>
          <w:sz w:val="24"/>
          <w:szCs w:val="20"/>
          <w:lang w:val="uk-UA" w:eastAsia="ru-RU"/>
        </w:rPr>
        <w:t xml:space="preserve"> дії.</w:t>
      </w:r>
    </w:p>
    <w:p w14:paraId="0C0604AD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5DEE1C91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Особливості застосування. </w:t>
      </w:r>
    </w:p>
    <w:p w14:paraId="12CAC31A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Лікарський засіб не слід наносити на відкриті рани.</w:t>
      </w:r>
    </w:p>
    <w:p w14:paraId="07AB8521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обережністю застосовувати особам літнього віку, особливо при одночасному застосуванні інших лікарських засобів, зокрема тих, що впливають на процеси згортання крові.</w:t>
      </w:r>
    </w:p>
    <w:p w14:paraId="5A1EFDCE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1FBB83A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uk-UA"/>
        </w:rPr>
      </w:pPr>
      <w:r w:rsidRPr="00D44C0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uk-UA"/>
        </w:rPr>
        <w:t>Застосування у період вагітності або годування груддю.</w:t>
      </w:r>
    </w:p>
    <w:p w14:paraId="60D77497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</w:pPr>
      <w:r w:rsidRPr="00D44C0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>На даний час відсутня інформація або досвід застосування лікарського засобу у період вагітності або годування груддю.</w:t>
      </w:r>
    </w:p>
    <w:p w14:paraId="44A0B7DF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</w:pPr>
      <w:proofErr w:type="spellStart"/>
      <w:r w:rsidRPr="00D44C0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>Пентозану</w:t>
      </w:r>
      <w:proofErr w:type="spellEnd"/>
      <w:r w:rsidRPr="00D44C0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>полісульфату</w:t>
      </w:r>
      <w:proofErr w:type="spellEnd"/>
      <w:r w:rsidRPr="00D44C0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 натрієва сіль не проникає через плацентарний бар’єр.</w:t>
      </w:r>
    </w:p>
    <w:p w14:paraId="64BAB8E1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</w:pPr>
      <w:r w:rsidRPr="00D44C0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lastRenderedPageBreak/>
        <w:t xml:space="preserve">Дослідження, проведені на тваринах, не надали доказів </w:t>
      </w:r>
      <w:proofErr w:type="spellStart"/>
      <w:r w:rsidRPr="00D44C0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>ембріотоксичного</w:t>
      </w:r>
      <w:proofErr w:type="spellEnd"/>
      <w:r w:rsidRPr="00D44C0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 або </w:t>
      </w:r>
      <w:proofErr w:type="spellStart"/>
      <w:r w:rsidRPr="00D44C0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>фетотоксичного</w:t>
      </w:r>
      <w:proofErr w:type="spellEnd"/>
      <w:r w:rsidRPr="00D44C0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 ефектів. Однак лікарський засіб не слід застосовувати у період вагітності.</w:t>
      </w:r>
    </w:p>
    <w:p w14:paraId="6A538BE4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</w:pPr>
      <w:r w:rsidRPr="00D44C0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Невідомо, чи проникає </w:t>
      </w:r>
      <w:proofErr w:type="spellStart"/>
      <w:r w:rsidRPr="00D44C0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>пентозану</w:t>
      </w:r>
      <w:proofErr w:type="spellEnd"/>
      <w:r w:rsidRPr="00D44C0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>полісульфату</w:t>
      </w:r>
      <w:proofErr w:type="spellEnd"/>
      <w:r w:rsidRPr="00D44C0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 натрієва сіль у грудне молоко, тому лікарський засіб не слід застосовувати у період годування груддю.</w:t>
      </w:r>
    </w:p>
    <w:p w14:paraId="222AA935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59AA2800" w14:textId="77777777" w:rsidR="002B74D6" w:rsidRPr="00D44C0E" w:rsidRDefault="002B74D6" w:rsidP="002B74D6">
      <w:pPr>
        <w:widowControl w:val="0"/>
        <w:shd w:val="clear" w:color="auto" w:fill="FFFFFF"/>
        <w:tabs>
          <w:tab w:val="left" w:pos="936"/>
        </w:tabs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 w:eastAsia="uk-UA"/>
        </w:rPr>
      </w:pPr>
      <w:r w:rsidRPr="00D44C0E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 w:eastAsia="uk-UA"/>
        </w:rPr>
        <w:t>Здатність впливати на швидкість реакції при керуванні автотранспортом або іншими механізмами.</w:t>
      </w:r>
    </w:p>
    <w:p w14:paraId="6FCD685B" w14:textId="77777777" w:rsidR="002B74D6" w:rsidRPr="00D44C0E" w:rsidRDefault="002B74D6" w:rsidP="002B74D6">
      <w:pPr>
        <w:tabs>
          <w:tab w:val="left" w:pos="76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Лікарський засіб не впливає на швидкість реакції при керуванні автотранспортом або іншими механізмами.</w:t>
      </w:r>
    </w:p>
    <w:p w14:paraId="36295B87" w14:textId="77777777" w:rsidR="002B74D6" w:rsidRPr="00D44C0E" w:rsidRDefault="002B74D6" w:rsidP="002B74D6">
      <w:pPr>
        <w:tabs>
          <w:tab w:val="left" w:pos="76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6BA9163E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Спосіб застосування та дози.</w:t>
      </w:r>
    </w:p>
    <w:p w14:paraId="50C73E4F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Гель наносять тонким шаром на уражені місця і прилеглі до них ділянки, злегка втираючи, 3 рази на день.</w:t>
      </w:r>
    </w:p>
    <w:p w14:paraId="06AE4B39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Тривалість курсу лікування встановлюють індивідуально, залежно від стану хворого, перебігу хвороби та досягнутого ефекту.</w:t>
      </w:r>
    </w:p>
    <w:p w14:paraId="67887A1C" w14:textId="77777777" w:rsidR="002B74D6" w:rsidRPr="00D44C0E" w:rsidRDefault="002B74D6" w:rsidP="002B74D6">
      <w:pPr>
        <w:tabs>
          <w:tab w:val="left" w:pos="76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uk-UA" w:eastAsia="uk-UA"/>
        </w:rPr>
      </w:pPr>
    </w:p>
    <w:p w14:paraId="79C16B0C" w14:textId="77777777" w:rsidR="002B74D6" w:rsidRPr="00D44C0E" w:rsidRDefault="002B74D6" w:rsidP="002B74D6">
      <w:pPr>
        <w:tabs>
          <w:tab w:val="left" w:pos="76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uk-UA"/>
        </w:rPr>
      </w:pPr>
      <w:r w:rsidRPr="00D44C0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uk-UA"/>
        </w:rPr>
        <w:t>Діти.</w:t>
      </w:r>
    </w:p>
    <w:p w14:paraId="0C349443" w14:textId="77777777" w:rsidR="002B74D6" w:rsidRPr="00D44C0E" w:rsidRDefault="002B74D6" w:rsidP="002B74D6">
      <w:pPr>
        <w:tabs>
          <w:tab w:val="left" w:pos="76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</w:pPr>
      <w:r w:rsidRPr="00D44C0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Лікарський засіб не рекомендовано застосовувати дітям віком до 16 років.</w:t>
      </w:r>
    </w:p>
    <w:p w14:paraId="58288D34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26BDECF1" w14:textId="77777777" w:rsidR="002B74D6" w:rsidRPr="00D44C0E" w:rsidRDefault="002B74D6" w:rsidP="002B74D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Передозування.</w:t>
      </w:r>
    </w:p>
    <w:p w14:paraId="5F37A65A" w14:textId="77777777" w:rsidR="002B74D6" w:rsidRPr="00D44C0E" w:rsidRDefault="002B74D6" w:rsidP="002B74D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Симптоми інтоксикації, спричиненої передозуванням:</w:t>
      </w:r>
    </w:p>
    <w:p w14:paraId="74F5AB80" w14:textId="77777777" w:rsidR="002B74D6" w:rsidRPr="00D44C0E" w:rsidRDefault="002B74D6" w:rsidP="002B74D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Дотепер жодного випадку передозування не спостерігалося.</w:t>
      </w:r>
    </w:p>
    <w:p w14:paraId="0FC1416B" w14:textId="77777777" w:rsidR="002B74D6" w:rsidRPr="00D44C0E" w:rsidRDefault="002B74D6" w:rsidP="002B74D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Терапевтичні заходи у разі передозування:</w:t>
      </w:r>
    </w:p>
    <w:p w14:paraId="03F7595A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Антидотом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пентозану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полісульфату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натрієвої солі є протаміну сульфат.</w:t>
      </w:r>
    </w:p>
    <w:p w14:paraId="432B7D01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val="uk-UA" w:eastAsia="ru-RU"/>
        </w:rPr>
      </w:pPr>
    </w:p>
    <w:p w14:paraId="766768C0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Побічні реакції. </w:t>
      </w:r>
    </w:p>
    <w:p w14:paraId="782A8256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Оцінка побічних реакцій ґрунтується на таких показниках частоти:</w:t>
      </w:r>
    </w:p>
    <w:p w14:paraId="11D70F5C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дуже часто (≥ 1/10); </w:t>
      </w:r>
    </w:p>
    <w:p w14:paraId="0275087A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часто (≥ 1/100 до &lt; 1/10); </w:t>
      </w:r>
    </w:p>
    <w:p w14:paraId="5ED2F1CE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нечасто (≥ 1/1000 до &lt; 1/100); </w:t>
      </w:r>
    </w:p>
    <w:p w14:paraId="5D936299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рідко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(≥ 1/10 000 до &lt; 1/1000); </w:t>
      </w:r>
    </w:p>
    <w:p w14:paraId="7A3A7499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дуже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рідко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(&lt; 1/10 000); </w:t>
      </w:r>
    </w:p>
    <w:p w14:paraId="2F981CCD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невідомо (частоту не можна оцінити на основі наявних даних).</w:t>
      </w:r>
    </w:p>
    <w:p w14:paraId="7995AAD4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Порушення з боку шкіри та підшкірної клітковини</w:t>
      </w:r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7DC7765B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Дуже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рідко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пухирці у місцях застосування, шкірні реакції, такі як відчуття тепла, свербіж, почервоніння, набряк у місцях застосування.</w:t>
      </w:r>
    </w:p>
    <w:p w14:paraId="68147E43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Інші можливі побічні реакції</w:t>
      </w:r>
    </w:p>
    <w:p w14:paraId="753CBE42" w14:textId="77777777" w:rsidR="002B74D6" w:rsidRPr="00D44C0E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Іноді можуть виникнути реакції </w:t>
      </w:r>
      <w:proofErr w:type="spellStart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гіперчутливості</w:t>
      </w:r>
      <w:proofErr w:type="spellEnd"/>
      <w:r w:rsidRPr="00D44C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сухість шкіри у місцях нанесення лікарського засобу.</w:t>
      </w:r>
    </w:p>
    <w:p w14:paraId="365BD5B9" w14:textId="77777777" w:rsidR="002B74D6" w:rsidRPr="002B74D6" w:rsidRDefault="002B74D6" w:rsidP="002B74D6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val="uk-UA" w:eastAsia="ru-RU"/>
        </w:rPr>
      </w:pPr>
      <w:r w:rsidRPr="00D44C0E">
        <w:rPr>
          <w:rFonts w:ascii="Times New Roman" w:eastAsia="Times New Roman" w:hAnsi="Times New Roman" w:cs="Times New Roman"/>
          <w:iCs/>
          <w:sz w:val="24"/>
          <w:szCs w:val="20"/>
          <w:lang w:val="uk-UA" w:eastAsia="ru-RU"/>
        </w:rPr>
        <w:t xml:space="preserve">Подібно до високо- та низькомолекулярних </w:t>
      </w:r>
      <w:proofErr w:type="spellStart"/>
      <w:r w:rsidRPr="00D44C0E">
        <w:rPr>
          <w:rFonts w:ascii="Times New Roman" w:eastAsia="Times New Roman" w:hAnsi="Times New Roman" w:cs="Times New Roman"/>
          <w:iCs/>
          <w:sz w:val="24"/>
          <w:szCs w:val="20"/>
          <w:lang w:val="uk-UA" w:eastAsia="ru-RU"/>
        </w:rPr>
        <w:t>гепаринів</w:t>
      </w:r>
      <w:proofErr w:type="spellEnd"/>
      <w:r w:rsidRPr="00D44C0E">
        <w:rPr>
          <w:rFonts w:ascii="Times New Roman" w:eastAsia="Times New Roman" w:hAnsi="Times New Roman" w:cs="Times New Roman"/>
          <w:iCs/>
          <w:sz w:val="24"/>
          <w:szCs w:val="20"/>
          <w:lang w:val="uk-UA" w:eastAsia="ru-RU"/>
        </w:rPr>
        <w:t xml:space="preserve">, </w:t>
      </w:r>
      <w:proofErr w:type="spellStart"/>
      <w:r w:rsidRPr="00D44C0E">
        <w:rPr>
          <w:rFonts w:ascii="Times New Roman" w:eastAsia="Times New Roman" w:hAnsi="Times New Roman" w:cs="Times New Roman"/>
          <w:iCs/>
          <w:sz w:val="24"/>
          <w:szCs w:val="20"/>
          <w:lang w:val="uk-UA" w:eastAsia="ru-RU"/>
        </w:rPr>
        <w:t>пентозану</w:t>
      </w:r>
      <w:proofErr w:type="spellEnd"/>
      <w:r w:rsidRPr="00D44C0E">
        <w:rPr>
          <w:rFonts w:ascii="Times New Roman" w:eastAsia="Times New Roman" w:hAnsi="Times New Roman" w:cs="Times New Roman"/>
          <w:iCs/>
          <w:sz w:val="24"/>
          <w:szCs w:val="20"/>
          <w:lang w:val="uk-UA" w:eastAsia="ru-RU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iCs/>
          <w:sz w:val="24"/>
          <w:szCs w:val="20"/>
          <w:lang w:val="uk-UA" w:eastAsia="ru-RU"/>
        </w:rPr>
        <w:t>полісульфату</w:t>
      </w:r>
      <w:proofErr w:type="spellEnd"/>
      <w:r w:rsidRPr="00D44C0E">
        <w:rPr>
          <w:rFonts w:ascii="Times New Roman" w:eastAsia="Times New Roman" w:hAnsi="Times New Roman" w:cs="Times New Roman"/>
          <w:iCs/>
          <w:sz w:val="24"/>
          <w:szCs w:val="20"/>
          <w:lang w:val="uk-UA" w:eastAsia="ru-RU"/>
        </w:rPr>
        <w:t xml:space="preserve"> натрієва сіль при внутрішньовенному, підшкірному або </w:t>
      </w:r>
      <w:proofErr w:type="spellStart"/>
      <w:r w:rsidRPr="00D44C0E">
        <w:rPr>
          <w:rFonts w:ascii="Times New Roman" w:eastAsia="Times New Roman" w:hAnsi="Times New Roman" w:cs="Times New Roman"/>
          <w:iCs/>
          <w:sz w:val="24"/>
          <w:szCs w:val="20"/>
          <w:lang w:val="uk-UA" w:eastAsia="ru-RU"/>
        </w:rPr>
        <w:t>внутрішньом’язовому</w:t>
      </w:r>
      <w:proofErr w:type="spellEnd"/>
      <w:r w:rsidRPr="00D44C0E">
        <w:rPr>
          <w:rFonts w:ascii="Times New Roman" w:eastAsia="Times New Roman" w:hAnsi="Times New Roman" w:cs="Times New Roman"/>
          <w:iCs/>
          <w:sz w:val="24"/>
          <w:szCs w:val="20"/>
          <w:lang w:val="uk-UA" w:eastAsia="ru-RU"/>
        </w:rPr>
        <w:t xml:space="preserve"> застосуванні може призвести до розвитку </w:t>
      </w:r>
      <w:proofErr w:type="spellStart"/>
      <w:r w:rsidRPr="00D44C0E">
        <w:rPr>
          <w:rFonts w:ascii="Times New Roman" w:eastAsia="Times New Roman" w:hAnsi="Times New Roman" w:cs="Times New Roman"/>
          <w:iCs/>
          <w:sz w:val="24"/>
          <w:szCs w:val="20"/>
          <w:lang w:val="uk-UA" w:eastAsia="ru-RU"/>
        </w:rPr>
        <w:t>гепаринасоційованої</w:t>
      </w:r>
      <w:proofErr w:type="spellEnd"/>
      <w:r w:rsidRPr="00D44C0E">
        <w:rPr>
          <w:rFonts w:ascii="Times New Roman" w:eastAsia="Times New Roman" w:hAnsi="Times New Roman" w:cs="Times New Roman"/>
          <w:iCs/>
          <w:sz w:val="24"/>
          <w:szCs w:val="20"/>
          <w:lang w:val="uk-UA" w:eastAsia="ru-RU"/>
        </w:rPr>
        <w:t xml:space="preserve"> </w:t>
      </w:r>
      <w:proofErr w:type="spellStart"/>
      <w:r w:rsidRPr="00D44C0E">
        <w:rPr>
          <w:rFonts w:ascii="Times New Roman" w:eastAsia="Times New Roman" w:hAnsi="Times New Roman" w:cs="Times New Roman"/>
          <w:iCs/>
          <w:sz w:val="24"/>
          <w:szCs w:val="20"/>
          <w:lang w:val="uk-UA" w:eastAsia="ru-RU"/>
        </w:rPr>
        <w:t>тромбоцитопенії</w:t>
      </w:r>
      <w:proofErr w:type="spellEnd"/>
      <w:r w:rsidRPr="00D44C0E">
        <w:rPr>
          <w:rFonts w:ascii="Times New Roman" w:eastAsia="Times New Roman" w:hAnsi="Times New Roman" w:cs="Times New Roman"/>
          <w:iCs/>
          <w:sz w:val="24"/>
          <w:szCs w:val="20"/>
          <w:lang w:val="uk-UA" w:eastAsia="ru-RU"/>
        </w:rPr>
        <w:t>, що не залежить від застосованої дози. Хоча ця побічна реакція не пов’язана із місцевим застосуванням лікарського засобу,</w:t>
      </w:r>
      <w:bookmarkStart w:id="0" w:name="_GoBack"/>
      <w:bookmarkEnd w:id="0"/>
      <w:r w:rsidRPr="002B74D6">
        <w:rPr>
          <w:rFonts w:ascii="Times New Roman" w:eastAsia="Times New Roman" w:hAnsi="Times New Roman" w:cs="Times New Roman"/>
          <w:iCs/>
          <w:sz w:val="24"/>
          <w:szCs w:val="20"/>
          <w:lang w:val="uk-UA" w:eastAsia="ru-RU"/>
        </w:rPr>
        <w:t xml:space="preserve"> при її розвитку слід звернутися до лікаря.</w:t>
      </w:r>
    </w:p>
    <w:p w14:paraId="7C22FBD6" w14:textId="77777777" w:rsidR="002B74D6" w:rsidRPr="002B74D6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65243494" w14:textId="77777777" w:rsidR="002B74D6" w:rsidRPr="002B74D6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B74D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Термін придатності.</w:t>
      </w:r>
    </w:p>
    <w:p w14:paraId="39020B13" w14:textId="77777777" w:rsidR="002B74D6" w:rsidRPr="002B74D6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 років.</w:t>
      </w:r>
    </w:p>
    <w:p w14:paraId="1E6FB4AA" w14:textId="77777777" w:rsidR="002B74D6" w:rsidRPr="002B74D6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Термін придатності після першого розкриття туби – 6 місяців.</w:t>
      </w:r>
    </w:p>
    <w:p w14:paraId="3E72B2A7" w14:textId="77777777" w:rsidR="002B74D6" w:rsidRPr="002B74D6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застосовувати після закінчення терміну придатності, зазначеного на упаковці.</w:t>
      </w:r>
    </w:p>
    <w:p w14:paraId="19725C39" w14:textId="77777777" w:rsidR="002B74D6" w:rsidRPr="002B74D6" w:rsidRDefault="002B74D6" w:rsidP="002B74D6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val="uk-UA" w:eastAsia="ru-RU"/>
        </w:rPr>
      </w:pPr>
      <w:r w:rsidRPr="002B74D6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val="uk-UA" w:eastAsia="ru-RU"/>
        </w:rPr>
        <w:t>Умови зберігання.</w:t>
      </w:r>
    </w:p>
    <w:p w14:paraId="5348AC34" w14:textId="77777777" w:rsidR="002B74D6" w:rsidRPr="002B74D6" w:rsidRDefault="002B74D6" w:rsidP="002B74D6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2B74D6">
        <w:rPr>
          <w:rFonts w:ascii="Times New Roman" w:eastAsia="Times New Roman" w:hAnsi="Times New Roman" w:cs="Times New Roman"/>
          <w:iCs/>
          <w:sz w:val="24"/>
          <w:szCs w:val="20"/>
          <w:lang w:val="uk-UA" w:eastAsia="ru-RU"/>
        </w:rPr>
        <w:t>Зберігати при температурі не вище 25 °C у недоступному для дітей місці.</w:t>
      </w:r>
    </w:p>
    <w:p w14:paraId="650509D2" w14:textId="77777777" w:rsidR="002B74D6" w:rsidRPr="002B74D6" w:rsidRDefault="002B74D6" w:rsidP="002B74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B74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Упаковка.</w:t>
      </w:r>
    </w:p>
    <w:p w14:paraId="0D56BBFF" w14:textId="77777777" w:rsidR="002B74D6" w:rsidRPr="002B74D6" w:rsidRDefault="002B74D6" w:rsidP="002B74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 40 г або 100 г гелю у тубі; по 1 тубі у картонній коробці.</w:t>
      </w:r>
    </w:p>
    <w:p w14:paraId="125714FE" w14:textId="77777777" w:rsidR="002B74D6" w:rsidRPr="002B74D6" w:rsidRDefault="002B74D6" w:rsidP="002B74D6">
      <w:pPr>
        <w:tabs>
          <w:tab w:val="left" w:pos="-22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B74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Категорія відпуску.</w:t>
      </w:r>
    </w:p>
    <w:p w14:paraId="31CD1B02" w14:textId="77777777" w:rsidR="002B74D6" w:rsidRPr="002B74D6" w:rsidRDefault="002B74D6" w:rsidP="002B74D6">
      <w:pPr>
        <w:tabs>
          <w:tab w:val="left" w:pos="-22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7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 рецепта.</w:t>
      </w:r>
    </w:p>
    <w:p w14:paraId="0B78B087" w14:textId="77777777" w:rsidR="002B74D6" w:rsidRPr="00DF445A" w:rsidRDefault="002B74D6" w:rsidP="002B7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4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Виробник. </w:t>
      </w:r>
    </w:p>
    <w:p w14:paraId="3018E676" w14:textId="77777777" w:rsidR="002B74D6" w:rsidRPr="002B74D6" w:rsidRDefault="002B74D6" w:rsidP="002B74D6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proofErr w:type="spellStart"/>
      <w:r w:rsidRPr="002B74D6">
        <w:rPr>
          <w:rFonts w:ascii="Times New Roman" w:eastAsia="Times New Roman" w:hAnsi="Times New Roman" w:cs="Arial"/>
          <w:bCs/>
          <w:iCs/>
          <w:sz w:val="24"/>
          <w:szCs w:val="20"/>
          <w:lang w:val="uk-UA" w:eastAsia="ru-RU"/>
        </w:rPr>
        <w:t>бене-Арцнайміттель</w:t>
      </w:r>
      <w:proofErr w:type="spellEnd"/>
      <w:r w:rsidRPr="002B74D6">
        <w:rPr>
          <w:rFonts w:ascii="Times New Roman" w:eastAsia="Times New Roman" w:hAnsi="Times New Roman" w:cs="Arial"/>
          <w:bCs/>
          <w:iCs/>
          <w:sz w:val="24"/>
          <w:szCs w:val="20"/>
          <w:lang w:val="uk-UA" w:eastAsia="ru-RU"/>
        </w:rPr>
        <w:t xml:space="preserve"> </w:t>
      </w:r>
      <w:proofErr w:type="spellStart"/>
      <w:r w:rsidRPr="002B74D6">
        <w:rPr>
          <w:rFonts w:ascii="Times New Roman" w:eastAsia="Times New Roman" w:hAnsi="Times New Roman" w:cs="Arial"/>
          <w:bCs/>
          <w:iCs/>
          <w:sz w:val="24"/>
          <w:szCs w:val="20"/>
          <w:lang w:val="uk-UA" w:eastAsia="ru-RU"/>
        </w:rPr>
        <w:t>ГмбХ</w:t>
      </w:r>
      <w:proofErr w:type="spellEnd"/>
      <w:r w:rsidRPr="002B74D6">
        <w:rPr>
          <w:rFonts w:ascii="Times New Roman" w:eastAsia="Times New Roman" w:hAnsi="Times New Roman" w:cs="Arial"/>
          <w:bCs/>
          <w:iCs/>
          <w:sz w:val="24"/>
          <w:szCs w:val="20"/>
          <w:lang w:val="uk-UA" w:eastAsia="ru-RU"/>
        </w:rPr>
        <w:t>/</w:t>
      </w:r>
    </w:p>
    <w:p w14:paraId="464E1848" w14:textId="77777777" w:rsidR="002B74D6" w:rsidRPr="002B74D6" w:rsidRDefault="002B74D6" w:rsidP="002B74D6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iCs/>
          <w:sz w:val="24"/>
          <w:szCs w:val="20"/>
          <w:lang w:val="uk-UA" w:eastAsia="ru-RU"/>
        </w:rPr>
      </w:pPr>
      <w:proofErr w:type="spellStart"/>
      <w:r w:rsidRPr="002B74D6">
        <w:rPr>
          <w:rFonts w:ascii="Times New Roman" w:eastAsia="Times New Roman" w:hAnsi="Times New Roman" w:cs="Arial"/>
          <w:bCs/>
          <w:iCs/>
          <w:sz w:val="24"/>
          <w:szCs w:val="20"/>
          <w:lang w:val="uk-UA" w:eastAsia="ru-RU"/>
        </w:rPr>
        <w:t>bene-Arzneimittel</w:t>
      </w:r>
      <w:proofErr w:type="spellEnd"/>
      <w:r w:rsidRPr="002B74D6">
        <w:rPr>
          <w:rFonts w:ascii="Times New Roman" w:eastAsia="Times New Roman" w:hAnsi="Times New Roman" w:cs="Arial"/>
          <w:bCs/>
          <w:iCs/>
          <w:sz w:val="24"/>
          <w:szCs w:val="20"/>
          <w:lang w:val="uk-UA" w:eastAsia="ru-RU"/>
        </w:rPr>
        <w:t xml:space="preserve"> </w:t>
      </w:r>
      <w:proofErr w:type="spellStart"/>
      <w:r w:rsidRPr="002B74D6">
        <w:rPr>
          <w:rFonts w:ascii="Times New Roman" w:eastAsia="Times New Roman" w:hAnsi="Times New Roman" w:cs="Arial"/>
          <w:bCs/>
          <w:iCs/>
          <w:sz w:val="24"/>
          <w:szCs w:val="20"/>
          <w:lang w:val="uk-UA" w:eastAsia="ru-RU"/>
        </w:rPr>
        <w:t>GmbH</w:t>
      </w:r>
      <w:proofErr w:type="spellEnd"/>
      <w:r w:rsidRPr="002B74D6">
        <w:rPr>
          <w:rFonts w:ascii="Times New Roman" w:eastAsia="Times New Roman" w:hAnsi="Times New Roman" w:cs="Arial"/>
          <w:bCs/>
          <w:iCs/>
          <w:sz w:val="24"/>
          <w:szCs w:val="20"/>
          <w:lang w:val="uk-UA" w:eastAsia="ru-RU"/>
        </w:rPr>
        <w:t xml:space="preserve">. </w:t>
      </w:r>
    </w:p>
    <w:p w14:paraId="3D064CB6" w14:textId="77777777" w:rsidR="002B74D6" w:rsidRPr="002B74D6" w:rsidRDefault="002B74D6" w:rsidP="002B74D6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iCs/>
          <w:sz w:val="16"/>
          <w:szCs w:val="16"/>
          <w:lang w:val="uk-UA" w:eastAsia="ru-RU"/>
        </w:rPr>
      </w:pPr>
    </w:p>
    <w:p w14:paraId="35B9B1B1" w14:textId="77777777" w:rsidR="002B74D6" w:rsidRPr="002B74D6" w:rsidRDefault="002B74D6" w:rsidP="002B74D6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2B74D6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Місцезнаходження виробника та адреса місця провадження його діяльності.</w:t>
      </w:r>
    </w:p>
    <w:p w14:paraId="25895638" w14:textId="6C7DA913" w:rsidR="002B74D6" w:rsidRPr="002B74D6" w:rsidRDefault="002B74D6" w:rsidP="002B74D6">
      <w:pPr>
        <w:tabs>
          <w:tab w:val="left" w:pos="48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 w:rsidRPr="002B74D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Хертеріхштрассе</w:t>
      </w:r>
      <w:proofErr w:type="spellEnd"/>
      <w:r w:rsidRPr="002B74D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1-3, 81479 Мюнхен, Німеччина/</w:t>
      </w:r>
      <w:proofErr w:type="spellStart"/>
      <w:r w:rsidRPr="002B74D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Herterichstrasse</w:t>
      </w:r>
      <w:proofErr w:type="spellEnd"/>
      <w:r w:rsidRPr="002B74D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1-3, 81479 </w:t>
      </w:r>
      <w:proofErr w:type="spellStart"/>
      <w:r w:rsidRPr="002B74D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Munchen</w:t>
      </w:r>
      <w:proofErr w:type="spellEnd"/>
      <w:r w:rsidRPr="002B74D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proofErr w:type="spellStart"/>
      <w:r w:rsidRPr="002B74D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Germany</w:t>
      </w:r>
      <w:proofErr w:type="spellEnd"/>
      <w:r w:rsidRPr="002B74D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20BD639C" w14:textId="77777777" w:rsidR="002B74D6" w:rsidRPr="002B74D6" w:rsidRDefault="002B74D6" w:rsidP="002B74D6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6"/>
          <w:szCs w:val="16"/>
          <w:lang w:val="uk-UA" w:eastAsia="ru-RU"/>
        </w:rPr>
      </w:pPr>
    </w:p>
    <w:p w14:paraId="26CFAC32" w14:textId="68D85E3A" w:rsidR="002B74D6" w:rsidRPr="002B74D6" w:rsidRDefault="002B74D6" w:rsidP="00D44C0E">
      <w:pPr>
        <w:spacing w:after="0" w:line="240" w:lineRule="auto"/>
        <w:jc w:val="center"/>
        <w:rPr>
          <w:rFonts w:ascii="Times New Roman" w:eastAsia="Times New Roman" w:hAnsi="Times New Roman" w:cs="Arial"/>
          <w:b/>
          <w:iCs/>
          <w:sz w:val="16"/>
          <w:szCs w:val="16"/>
          <w:lang w:val="uk-UA" w:eastAsia="ru-RU"/>
        </w:rPr>
      </w:pPr>
      <w:r w:rsidRPr="002B74D6">
        <w:rPr>
          <w:rFonts w:ascii="Arial" w:eastAsia="Times New Roman" w:hAnsi="Arial" w:cs="Times New Roman"/>
          <w:iCs/>
          <w:color w:val="000000"/>
          <w:sz w:val="24"/>
          <w:szCs w:val="24"/>
          <w:lang w:val="uk-UA" w:eastAsia="ru-RU"/>
        </w:rPr>
        <w:br w:type="page"/>
      </w:r>
      <w:r w:rsidR="00D44C0E" w:rsidRPr="002B74D6">
        <w:rPr>
          <w:rFonts w:ascii="Times New Roman" w:eastAsia="Times New Roman" w:hAnsi="Times New Roman" w:cs="Arial"/>
          <w:b/>
          <w:iCs/>
          <w:sz w:val="16"/>
          <w:szCs w:val="16"/>
          <w:lang w:val="uk-UA" w:eastAsia="ru-RU"/>
        </w:rPr>
        <w:lastRenderedPageBreak/>
        <w:t xml:space="preserve"> </w:t>
      </w:r>
    </w:p>
    <w:p w14:paraId="080DBC2E" w14:textId="77777777" w:rsidR="00D83FD9" w:rsidRPr="0097275D" w:rsidRDefault="00D83FD9">
      <w:pPr>
        <w:rPr>
          <w:lang w:val="en-US"/>
        </w:rPr>
      </w:pPr>
    </w:p>
    <w:sectPr w:rsidR="00D83FD9" w:rsidRPr="0097275D" w:rsidSect="009727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6DB"/>
    <w:rsid w:val="002B74D6"/>
    <w:rsid w:val="007936DB"/>
    <w:rsid w:val="009436EF"/>
    <w:rsid w:val="0097275D"/>
    <w:rsid w:val="00D44C0E"/>
    <w:rsid w:val="00D83FD9"/>
    <w:rsid w:val="00D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356E"/>
  <w15:chartTrackingRefBased/>
  <w15:docId w15:val="{94FBDE46-CF4E-455C-B566-82C51228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74D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val="en-GB" w:eastAsia="de-D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B74D6"/>
    <w:rPr>
      <w:rFonts w:ascii="Arial" w:eastAsia="Times New Roman" w:hAnsi="Arial" w:cs="Arial"/>
      <w:sz w:val="24"/>
      <w:szCs w:val="24"/>
      <w:lang w:val="en-GB" w:eastAsia="de-DE"/>
    </w:rPr>
  </w:style>
  <w:style w:type="paragraph" w:styleId="a5">
    <w:name w:val="Title"/>
    <w:basedOn w:val="a"/>
    <w:link w:val="a6"/>
    <w:uiPriority w:val="10"/>
    <w:qFormat/>
    <w:rsid w:val="002B74D6"/>
    <w:pPr>
      <w:spacing w:after="0" w:line="240" w:lineRule="auto"/>
      <w:ind w:left="5664"/>
      <w:jc w:val="center"/>
    </w:pPr>
    <w:rPr>
      <w:rFonts w:ascii="Arial" w:eastAsia="Times New Roman" w:hAnsi="Arial" w:cs="Times New Roman"/>
      <w:b/>
      <w:color w:val="000000"/>
      <w:sz w:val="24"/>
      <w:szCs w:val="24"/>
      <w:lang w:val="uk-UA" w:eastAsia="ru-RU"/>
    </w:rPr>
  </w:style>
  <w:style w:type="character" w:customStyle="1" w:styleId="a6">
    <w:name w:val="Заголовок Знак"/>
    <w:basedOn w:val="a0"/>
    <w:link w:val="a5"/>
    <w:uiPriority w:val="10"/>
    <w:rsid w:val="002B74D6"/>
    <w:rPr>
      <w:rFonts w:ascii="Arial" w:eastAsia="Times New Roman" w:hAnsi="Arial" w:cs="Times New Roman"/>
      <w:b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2B74D6"/>
    <w:pPr>
      <w:widowControl w:val="0"/>
      <w:tabs>
        <w:tab w:val="left" w:pos="5400"/>
      </w:tabs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iCs/>
      <w:sz w:val="24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2B74D6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B74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B74D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ext">
    <w:name w:val="Text"/>
    <w:basedOn w:val="a"/>
    <w:rsid w:val="002B74D6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GB" w:eastAsia="ru-RU"/>
    </w:rPr>
  </w:style>
  <w:style w:type="character" w:customStyle="1" w:styleId="hps">
    <w:name w:val="hps"/>
    <w:basedOn w:val="a0"/>
    <w:rsid w:val="002B74D6"/>
  </w:style>
  <w:style w:type="paragraph" w:styleId="a9">
    <w:name w:val="Balloon Text"/>
    <w:basedOn w:val="a"/>
    <w:link w:val="aa"/>
    <w:uiPriority w:val="99"/>
    <w:semiHidden/>
    <w:unhideWhenUsed/>
    <w:rsid w:val="00972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275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3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Laskava</dc:creator>
  <cp:keywords/>
  <dc:description/>
  <cp:lastModifiedBy>Olena Golovko</cp:lastModifiedBy>
  <cp:revision>6</cp:revision>
  <cp:lastPrinted>2025-03-04T14:52:00Z</cp:lastPrinted>
  <dcterms:created xsi:type="dcterms:W3CDTF">2020-12-22T17:27:00Z</dcterms:created>
  <dcterms:modified xsi:type="dcterms:W3CDTF">2025-08-20T09:13:00Z</dcterms:modified>
</cp:coreProperties>
</file>