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C09F2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ІНСТРУКЦІЯ</w:t>
      </w:r>
    </w:p>
    <w:p w:rsidR="00000000" w:rsidRDefault="006C09F2">
      <w:pPr>
        <w:jc w:val="center"/>
        <w:rPr>
          <w:b/>
          <w:lang w:val="uk-UA"/>
        </w:rPr>
      </w:pPr>
      <w:r>
        <w:rPr>
          <w:b/>
          <w:lang w:val="uk-UA"/>
        </w:rPr>
        <w:t>для медичного застосування лікарського засобу</w:t>
      </w:r>
    </w:p>
    <w:p w:rsidR="00000000" w:rsidRDefault="006C09F2">
      <w:pPr>
        <w:pStyle w:val="4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000000" w:rsidRDefault="006C09F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СОЛІДАГОРЕН</w:t>
      </w:r>
    </w:p>
    <w:p w:rsidR="00000000" w:rsidRDefault="006C09F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</w:t>
      </w:r>
      <w:r>
        <w:rPr>
          <w:b/>
          <w:bCs/>
          <w:lang w:val="en-US"/>
        </w:rPr>
        <w:t>SOLIDAGOREN</w:t>
      </w:r>
      <w:r>
        <w:rPr>
          <w:b/>
          <w:bCs/>
          <w:vertAlign w:val="superscript"/>
          <w:lang w:val="uk-UA"/>
        </w:rPr>
        <w:t>®</w:t>
      </w:r>
      <w:r>
        <w:rPr>
          <w:b/>
          <w:bCs/>
          <w:lang w:val="uk-UA"/>
        </w:rPr>
        <w:t>)</w:t>
      </w:r>
    </w:p>
    <w:p w:rsidR="00000000" w:rsidRDefault="006C09F2">
      <w:pPr>
        <w:ind w:left="360" w:firstLine="348"/>
        <w:jc w:val="center"/>
        <w:rPr>
          <w:sz w:val="16"/>
          <w:szCs w:val="16"/>
          <w:lang w:val="uk-UA"/>
        </w:rPr>
      </w:pPr>
    </w:p>
    <w:p w:rsidR="00000000" w:rsidRDefault="006C09F2">
      <w:pPr>
        <w:rPr>
          <w:b/>
          <w:i/>
          <w:lang w:val="uk-UA"/>
        </w:rPr>
      </w:pPr>
      <w:r>
        <w:rPr>
          <w:b/>
          <w:i/>
          <w:lang w:val="uk-UA"/>
        </w:rPr>
        <w:t>Склад:</w:t>
      </w:r>
    </w:p>
    <w:p w:rsidR="00000000" w:rsidRDefault="006C09F2">
      <w:pPr>
        <w:jc w:val="both"/>
        <w:rPr>
          <w:lang w:val="uk-UA"/>
        </w:rPr>
      </w:pPr>
      <w:r>
        <w:rPr>
          <w:i/>
          <w:lang w:val="uk-UA"/>
        </w:rPr>
        <w:t>діюча речовина:</w:t>
      </w:r>
      <w:r>
        <w:rPr>
          <w:lang w:val="uk-UA"/>
        </w:rPr>
        <w:t xml:space="preserve"> рідкий екстракт із суміші трави золотушника звичайного (Solidago virgaurea L.), трави перстачу гусячого (Potentilla anserina L.), трави хвоща поль</w:t>
      </w:r>
      <w:r>
        <w:rPr>
          <w:lang w:val="uk-UA"/>
        </w:rPr>
        <w:t>ового (Equisetum arvense L.);</w:t>
      </w:r>
    </w:p>
    <w:p w:rsidR="00000000" w:rsidRDefault="006C09F2">
      <w:pPr>
        <w:jc w:val="both"/>
        <w:rPr>
          <w:lang w:val="uk-UA"/>
        </w:rPr>
      </w:pPr>
      <w:r>
        <w:rPr>
          <w:lang w:val="uk-UA"/>
        </w:rPr>
        <w:t xml:space="preserve">10 мл препарату містять 7,9 мл рідкого екстракту (1 : 1,5–2,1) із суміші трави золотушника звичайного </w:t>
      </w:r>
      <w:r>
        <w:rPr>
          <w:i/>
          <w:lang w:val="uk-UA"/>
        </w:rPr>
        <w:t>(Solidago virgaurea L.),</w:t>
      </w:r>
      <w:r>
        <w:rPr>
          <w:lang w:val="uk-UA"/>
        </w:rPr>
        <w:t xml:space="preserve"> трави перстачу гусячого </w:t>
      </w:r>
      <w:r>
        <w:rPr>
          <w:i/>
          <w:lang w:val="uk-UA"/>
        </w:rPr>
        <w:t>(Potentilla anserina L.),</w:t>
      </w:r>
      <w:r>
        <w:rPr>
          <w:lang w:val="uk-UA"/>
        </w:rPr>
        <w:t xml:space="preserve"> трави хвоща польового (</w:t>
      </w:r>
      <w:r>
        <w:rPr>
          <w:i/>
          <w:lang w:val="uk-UA"/>
        </w:rPr>
        <w:t>Equisetum arvense L.)</w:t>
      </w:r>
      <w:r>
        <w:rPr>
          <w:lang w:val="uk-UA"/>
        </w:rPr>
        <w:t xml:space="preserve"> (4,2</w:t>
      </w:r>
      <w:r>
        <w:rPr>
          <w:lang w:val="uk-UA"/>
        </w:rPr>
        <w:t> : 1,4 : 1), екстрагент: етанол 50 % (об/об);</w:t>
      </w:r>
    </w:p>
    <w:p w:rsidR="00000000" w:rsidRDefault="006C09F2">
      <w:pPr>
        <w:jc w:val="both"/>
        <w:rPr>
          <w:lang w:val="uk-UA"/>
        </w:rPr>
      </w:pPr>
      <w:r>
        <w:rPr>
          <w:i/>
          <w:lang w:val="uk-UA"/>
        </w:rPr>
        <w:t>допоміжні речовини:</w:t>
      </w:r>
      <w:r>
        <w:rPr>
          <w:lang w:val="uk-UA"/>
        </w:rPr>
        <w:t xml:space="preserve"> вода очищена, етанол 96 %.</w:t>
      </w:r>
    </w:p>
    <w:p w:rsidR="00000000" w:rsidRDefault="006C09F2">
      <w:pPr>
        <w:rPr>
          <w:i/>
          <w:sz w:val="16"/>
          <w:szCs w:val="16"/>
          <w:lang w:val="uk-UA"/>
        </w:rPr>
      </w:pPr>
    </w:p>
    <w:p w:rsidR="00000000" w:rsidRDefault="006C09F2">
      <w:pPr>
        <w:jc w:val="both"/>
        <w:rPr>
          <w:lang w:val="uk-UA"/>
        </w:rPr>
      </w:pPr>
      <w:r>
        <w:rPr>
          <w:b/>
          <w:lang w:val="uk-UA"/>
        </w:rPr>
        <w:t xml:space="preserve">Лікарська форма. </w:t>
      </w:r>
      <w:r>
        <w:rPr>
          <w:lang w:val="uk-UA"/>
        </w:rPr>
        <w:t>Краплі оральні.</w:t>
      </w:r>
    </w:p>
    <w:p w:rsidR="00000000" w:rsidRDefault="006C09F2">
      <w:pPr>
        <w:pStyle w:val="Text"/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Основні фізико-хімічні властивості:</w:t>
      </w:r>
      <w:r>
        <w:rPr>
          <w:rFonts w:ascii="Times New Roman" w:hAnsi="Times New Roman"/>
          <w:sz w:val="24"/>
          <w:szCs w:val="24"/>
          <w:lang w:val="uk-UA"/>
        </w:rPr>
        <w:t xml:space="preserve"> прозора рідина коричневого кольору.</w:t>
      </w:r>
    </w:p>
    <w:p w:rsidR="00000000" w:rsidRDefault="006C09F2">
      <w:pPr>
        <w:pStyle w:val="a6"/>
        <w:jc w:val="both"/>
        <w:rPr>
          <w:rFonts w:ascii="Times New Roman" w:hAnsi="Times New Roman"/>
          <w:b/>
          <w:bCs/>
          <w:sz w:val="16"/>
          <w:szCs w:val="16"/>
          <w:lang w:val="ru-RU" w:eastAsia="uk-UA"/>
        </w:rPr>
      </w:pPr>
    </w:p>
    <w:p w:rsidR="00000000" w:rsidRDefault="006C09F2">
      <w:pPr>
        <w:jc w:val="both"/>
        <w:rPr>
          <w:lang w:val="uk-UA"/>
        </w:rPr>
      </w:pPr>
      <w:r>
        <w:rPr>
          <w:b/>
          <w:lang w:val="uk-UA"/>
        </w:rPr>
        <w:t>Фармакотерапевтична група.</w:t>
      </w:r>
    </w:p>
    <w:p w:rsidR="00000000" w:rsidRDefault="006C09F2">
      <w:pPr>
        <w:jc w:val="both"/>
        <w:rPr>
          <w:lang w:val="uk-UA"/>
        </w:rPr>
      </w:pPr>
      <w:r>
        <w:rPr>
          <w:lang w:val="uk-UA"/>
        </w:rPr>
        <w:t>Засоби, що застосовуються в у</w:t>
      </w:r>
      <w:r>
        <w:rPr>
          <w:lang w:val="uk-UA"/>
        </w:rPr>
        <w:t>рології. Код АТХ G04B.</w:t>
      </w:r>
    </w:p>
    <w:p w:rsidR="00000000" w:rsidRDefault="006C09F2">
      <w:pPr>
        <w:jc w:val="both"/>
        <w:rPr>
          <w:b/>
          <w:i/>
          <w:sz w:val="16"/>
          <w:szCs w:val="16"/>
          <w:lang w:val="uk-UA"/>
        </w:rPr>
      </w:pPr>
    </w:p>
    <w:p w:rsidR="00000000" w:rsidRDefault="006C09F2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Фармакологічні властивості.</w:t>
      </w:r>
    </w:p>
    <w:p w:rsidR="00000000" w:rsidRDefault="006C09F2">
      <w:pPr>
        <w:jc w:val="both"/>
        <w:rPr>
          <w:lang w:val="uk-UA"/>
        </w:rPr>
      </w:pPr>
      <w:r>
        <w:rPr>
          <w:i/>
          <w:lang w:val="uk-UA"/>
        </w:rPr>
        <w:t>Фармакодинаміка.</w:t>
      </w:r>
      <w:r>
        <w:rPr>
          <w:b/>
          <w:i/>
          <w:lang w:val="uk-UA"/>
        </w:rPr>
        <w:t xml:space="preserve"> </w:t>
      </w:r>
      <w:r>
        <w:rPr>
          <w:lang w:val="uk-UA"/>
        </w:rPr>
        <w:t>Дослідження не проводилися.</w:t>
      </w:r>
    </w:p>
    <w:p w:rsidR="00000000" w:rsidRDefault="006C09F2">
      <w:pPr>
        <w:jc w:val="both"/>
        <w:rPr>
          <w:b/>
          <w:i/>
          <w:lang w:val="uk-UA"/>
        </w:rPr>
      </w:pPr>
    </w:p>
    <w:p w:rsidR="00000000" w:rsidRDefault="006C09F2">
      <w:pPr>
        <w:jc w:val="both"/>
        <w:rPr>
          <w:lang w:val="uk-UA"/>
        </w:rPr>
      </w:pPr>
      <w:r>
        <w:rPr>
          <w:i/>
          <w:lang w:val="uk-UA"/>
        </w:rPr>
        <w:t>Фармакокінетика.</w:t>
      </w:r>
      <w:r>
        <w:rPr>
          <w:b/>
          <w:i/>
          <w:lang w:val="uk-UA"/>
        </w:rPr>
        <w:t xml:space="preserve"> </w:t>
      </w:r>
      <w:r>
        <w:rPr>
          <w:lang w:val="uk-UA"/>
        </w:rPr>
        <w:t>Дослідження не проводилися.</w:t>
      </w:r>
    </w:p>
    <w:p w:rsidR="00000000" w:rsidRDefault="006C09F2">
      <w:pPr>
        <w:jc w:val="both"/>
        <w:rPr>
          <w:b/>
          <w:i/>
          <w:lang w:val="uk-UA"/>
        </w:rPr>
      </w:pPr>
    </w:p>
    <w:p w:rsidR="00000000" w:rsidRDefault="006C09F2">
      <w:pPr>
        <w:rPr>
          <w:b/>
          <w:lang w:val="uk-UA"/>
        </w:rPr>
      </w:pPr>
      <w:r>
        <w:rPr>
          <w:b/>
          <w:lang w:val="uk-UA"/>
        </w:rPr>
        <w:t>Клінічні характеристики.</w:t>
      </w:r>
    </w:p>
    <w:p w:rsidR="00000000" w:rsidRDefault="006C09F2">
      <w:pPr>
        <w:rPr>
          <w:b/>
          <w:i/>
          <w:lang w:val="uk-UA"/>
        </w:rPr>
      </w:pPr>
      <w:r>
        <w:rPr>
          <w:b/>
          <w:i/>
          <w:lang w:val="uk-UA"/>
        </w:rPr>
        <w:t>Показання.</w:t>
      </w:r>
    </w:p>
    <w:p w:rsidR="00000000" w:rsidRDefault="006C09F2">
      <w:pPr>
        <w:jc w:val="both"/>
        <w:rPr>
          <w:lang w:val="uk-UA"/>
        </w:rPr>
      </w:pPr>
      <w:r>
        <w:rPr>
          <w:lang w:val="uk-UA"/>
        </w:rPr>
        <w:t>Гострі та хронічні інфекції сечовивідних шляхів (цистит, пієлонефрит) легког</w:t>
      </w:r>
      <w:r>
        <w:rPr>
          <w:lang w:val="uk-UA"/>
        </w:rPr>
        <w:t>о та середнього ступеня тяжкості у складі комплексної терапії.</w:t>
      </w:r>
    </w:p>
    <w:p w:rsidR="00000000" w:rsidRDefault="006C09F2">
      <w:pPr>
        <w:jc w:val="both"/>
        <w:rPr>
          <w:lang w:val="uk-UA"/>
        </w:rPr>
      </w:pPr>
      <w:r>
        <w:rPr>
          <w:lang w:val="uk-UA"/>
        </w:rPr>
        <w:t>Профілактика утворення каменів у сечовому міхурі, у тому числі й після їх видалення.</w:t>
      </w:r>
    </w:p>
    <w:p w:rsidR="00000000" w:rsidRDefault="006C09F2">
      <w:pPr>
        <w:rPr>
          <w:sz w:val="16"/>
          <w:szCs w:val="16"/>
          <w:lang w:val="uk-UA"/>
        </w:rPr>
      </w:pPr>
    </w:p>
    <w:p w:rsidR="00000000" w:rsidRDefault="006C09F2">
      <w:pPr>
        <w:jc w:val="both"/>
        <w:rPr>
          <w:i/>
          <w:lang w:val="uk-UA"/>
        </w:rPr>
      </w:pPr>
      <w:r>
        <w:rPr>
          <w:b/>
          <w:i/>
          <w:lang w:val="uk-UA"/>
        </w:rPr>
        <w:t>Протипоказання.</w:t>
      </w:r>
    </w:p>
    <w:p w:rsidR="00000000" w:rsidRDefault="006C0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Підвищена чутливість до діючої речовини або будь-якого іншого компонента лікарського засобу</w:t>
      </w:r>
      <w:r>
        <w:rPr>
          <w:lang w:val="uk-UA"/>
        </w:rPr>
        <w:t>. Солідагорен не слід застосовувати у разі алергії на рослини родини айстрових (</w:t>
      </w:r>
      <w:r>
        <w:rPr>
          <w:i/>
          <w:lang w:val="uk-UA"/>
        </w:rPr>
        <w:t>Asteraceae</w:t>
      </w:r>
      <w:r>
        <w:rPr>
          <w:lang w:val="uk-UA"/>
        </w:rPr>
        <w:t>), оскільки ці рослини використовують при виробництві рослинного екстракту, який входить до складу лікарського засобу.</w:t>
      </w:r>
    </w:p>
    <w:p w:rsidR="00000000" w:rsidRDefault="006C0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Тяжка серцева і ниркова недостатність, набряки </w:t>
      </w:r>
      <w:r>
        <w:rPr>
          <w:lang w:val="uk-UA"/>
        </w:rPr>
        <w:t>в результаті серцевої та/або ниркової недостатності.</w:t>
      </w:r>
    </w:p>
    <w:p w:rsidR="00000000" w:rsidRDefault="006C09F2">
      <w:pPr>
        <w:jc w:val="both"/>
        <w:rPr>
          <w:b/>
          <w:sz w:val="16"/>
          <w:szCs w:val="16"/>
          <w:lang w:val="uk-UA"/>
        </w:rPr>
      </w:pPr>
    </w:p>
    <w:p w:rsidR="00000000" w:rsidRDefault="006C09F2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Взаємодія з іншими лікарськими засобами та інші види взаємодій.</w:t>
      </w:r>
    </w:p>
    <w:p w:rsidR="00000000" w:rsidRDefault="006C0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Випадки взаємодії з іншими лікарськими засобами невідомі.</w:t>
      </w:r>
    </w:p>
    <w:p w:rsidR="00000000" w:rsidRDefault="006C0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Через наявність етанолу в цьому лікарському засобі можливий вплив на дію інших п</w:t>
      </w:r>
      <w:r>
        <w:rPr>
          <w:lang w:val="uk-UA"/>
        </w:rPr>
        <w:t>репаратів.</w:t>
      </w:r>
    </w:p>
    <w:p w:rsidR="00000000" w:rsidRDefault="006C09F2">
      <w:pPr>
        <w:jc w:val="both"/>
        <w:rPr>
          <w:b/>
          <w:bCs/>
          <w:sz w:val="16"/>
          <w:szCs w:val="16"/>
          <w:lang w:val="uk-UA" w:eastAsia="uk-UA"/>
        </w:rPr>
      </w:pPr>
    </w:p>
    <w:p w:rsidR="00000000" w:rsidRDefault="006C09F2">
      <w:pPr>
        <w:rPr>
          <w:b/>
          <w:bCs/>
          <w:i/>
          <w:lang w:val="uk-UA" w:eastAsia="uk-UA"/>
        </w:rPr>
      </w:pPr>
      <w:r>
        <w:rPr>
          <w:b/>
          <w:bCs/>
          <w:i/>
          <w:lang w:val="uk-UA" w:eastAsia="uk-UA"/>
        </w:rPr>
        <w:t>Особливості застосування.</w:t>
      </w:r>
    </w:p>
    <w:p w:rsidR="00000000" w:rsidRDefault="006C0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Протипоказано застосовувати Солідагорен</w:t>
      </w:r>
      <w:r>
        <w:rPr>
          <w:bCs/>
          <w:lang w:val="uk-UA"/>
        </w:rPr>
        <w:t xml:space="preserve"> як сечогінний засіб для лікування набряків, спричинених серцевою або нирковою недостатністю, особливо у літніх людей.</w:t>
      </w:r>
    </w:p>
    <w:p w:rsidR="00000000" w:rsidRDefault="006C0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У разі появи крові у сечі, високої температури тіла або якщо</w:t>
      </w:r>
      <w:r>
        <w:rPr>
          <w:bCs/>
          <w:lang w:val="uk-UA"/>
        </w:rPr>
        <w:t xml:space="preserve"> симптоми захворювання зберігаються більше 5 днів, рекомендовано звернутися до лікаря.</w:t>
      </w:r>
    </w:p>
    <w:p w:rsidR="00000000" w:rsidRDefault="006C0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Лікарський засіб </w:t>
      </w:r>
      <w:r>
        <w:rPr>
          <w:bCs/>
        </w:rPr>
        <w:t>містить 45</w:t>
      </w:r>
      <w:r>
        <w:rPr>
          <w:bCs/>
          <w:lang w:val="uk-UA"/>
        </w:rPr>
        <w:t> </w:t>
      </w:r>
      <w:r>
        <w:rPr>
          <w:bCs/>
        </w:rPr>
        <w:t xml:space="preserve">% </w:t>
      </w:r>
      <w:r>
        <w:rPr>
          <w:bCs/>
          <w:lang w:val="uk-UA"/>
        </w:rPr>
        <w:t>(об</w:t>
      </w:r>
      <w:r>
        <w:rPr>
          <w:bCs/>
        </w:rPr>
        <w:t>/</w:t>
      </w:r>
      <w:r>
        <w:rPr>
          <w:bCs/>
          <w:lang w:val="uk-UA"/>
        </w:rPr>
        <w:t>об) с</w:t>
      </w:r>
      <w:r>
        <w:rPr>
          <w:bCs/>
        </w:rPr>
        <w:t>пирт</w:t>
      </w:r>
      <w:r>
        <w:rPr>
          <w:bCs/>
          <w:lang w:val="uk-UA"/>
        </w:rPr>
        <w:t>у. З кожним прийомом</w:t>
      </w:r>
      <w:r>
        <w:rPr>
          <w:bCs/>
        </w:rPr>
        <w:t xml:space="preserve"> рекомендовано</w:t>
      </w:r>
      <w:r>
        <w:rPr>
          <w:bCs/>
          <w:lang w:val="uk-UA"/>
        </w:rPr>
        <w:t>ї дози (</w:t>
      </w:r>
      <w:r>
        <w:rPr>
          <w:bCs/>
        </w:rPr>
        <w:t>30</w:t>
      </w:r>
      <w:r>
        <w:rPr>
          <w:bCs/>
          <w:lang w:val="uk-UA"/>
        </w:rPr>
        <w:t> </w:t>
      </w:r>
      <w:r>
        <w:rPr>
          <w:bCs/>
        </w:rPr>
        <w:t>крапель</w:t>
      </w:r>
      <w:r>
        <w:rPr>
          <w:bCs/>
          <w:lang w:val="uk-UA"/>
        </w:rPr>
        <w:t>) до організму потрапляє 0,6 г спирту. Тому цей лікарський засіб шкідливий</w:t>
      </w:r>
      <w:r>
        <w:rPr>
          <w:bCs/>
          <w:lang w:val="uk-UA"/>
        </w:rPr>
        <w:t xml:space="preserve"> для пацієнтів, хворих на алкоголізм. Слід бути обережним при застосуванні вагітним та жінкам, які годують груддю, дітям, пацієнтам із захворюваннями печінки та хворим на епілепсію.</w:t>
      </w:r>
    </w:p>
    <w:p w:rsidR="00000000" w:rsidRDefault="006C0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</w:p>
    <w:p w:rsidR="00000000" w:rsidRDefault="006C0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lang w:val="uk-UA" w:eastAsia="uk-UA"/>
        </w:rPr>
      </w:pPr>
      <w:r>
        <w:rPr>
          <w:bCs/>
          <w:i/>
          <w:iCs/>
          <w:lang w:val="uk-UA" w:eastAsia="uk-UA"/>
        </w:rPr>
        <w:t>Застосування у період вагітності або годування груддю.</w:t>
      </w:r>
    </w:p>
    <w:p w:rsidR="00000000" w:rsidRDefault="006C09F2">
      <w:pPr>
        <w:tabs>
          <w:tab w:val="left" w:pos="851"/>
          <w:tab w:val="left" w:pos="1418"/>
        </w:tabs>
        <w:jc w:val="both"/>
        <w:rPr>
          <w:lang w:val="uk-UA" w:eastAsia="x-none"/>
        </w:rPr>
      </w:pPr>
      <w:r>
        <w:rPr>
          <w:lang w:val="uk-UA" w:eastAsia="x-none"/>
        </w:rPr>
        <w:t>Лікарський засіб н</w:t>
      </w:r>
      <w:r>
        <w:rPr>
          <w:lang w:val="uk-UA" w:eastAsia="x-none"/>
        </w:rPr>
        <w:t xml:space="preserve">е рекомендовано застосовувати у період вагітності або годування груддю. </w:t>
      </w:r>
    </w:p>
    <w:p w:rsidR="00000000" w:rsidRDefault="006C09F2">
      <w:pPr>
        <w:pStyle w:val="a9"/>
        <w:tabs>
          <w:tab w:val="left" w:pos="851"/>
          <w:tab w:val="left" w:pos="1418"/>
        </w:tabs>
        <w:rPr>
          <w:sz w:val="16"/>
          <w:szCs w:val="16"/>
        </w:rPr>
      </w:pPr>
    </w:p>
    <w:p w:rsidR="00000000" w:rsidRDefault="006C09F2">
      <w:pPr>
        <w:pStyle w:val="23"/>
        <w:ind w:left="0"/>
        <w:jc w:val="both"/>
        <w:rPr>
          <w:rFonts w:ascii="Times New Roman" w:hAnsi="Times New Roman"/>
          <w:bCs/>
          <w:i/>
          <w:iCs/>
          <w:szCs w:val="24"/>
          <w:lang w:val="uk-UA" w:eastAsia="uk-UA"/>
        </w:rPr>
      </w:pPr>
      <w:r>
        <w:rPr>
          <w:rFonts w:ascii="Times New Roman" w:hAnsi="Times New Roman"/>
          <w:bCs/>
          <w:i/>
          <w:iCs/>
          <w:szCs w:val="24"/>
          <w:lang w:val="uk-UA" w:eastAsia="uk-UA"/>
        </w:rPr>
        <w:t>Здатність впливати на швидкість реакції при керуванні автотранспортом або іншими механізмами.</w:t>
      </w:r>
    </w:p>
    <w:p w:rsidR="00000000" w:rsidRDefault="006C09F2">
      <w:pPr>
        <w:rPr>
          <w:lang w:val="uk-UA"/>
        </w:rPr>
      </w:pPr>
      <w:r>
        <w:rPr>
          <w:lang w:val="uk-UA"/>
        </w:rPr>
        <w:t>При дотриманні рекомендованих доз не впливає на швидкість реакції.</w:t>
      </w:r>
    </w:p>
    <w:p w:rsidR="00000000" w:rsidRDefault="006C09F2">
      <w:pPr>
        <w:rPr>
          <w:bCs/>
          <w:i/>
          <w:iCs/>
          <w:sz w:val="16"/>
          <w:szCs w:val="16"/>
          <w:lang w:val="uk-UA" w:eastAsia="uk-UA"/>
        </w:rPr>
      </w:pPr>
    </w:p>
    <w:p w:rsidR="00000000" w:rsidRDefault="006C09F2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 xml:space="preserve">Спосіб застосування </w:t>
      </w:r>
      <w:r>
        <w:rPr>
          <w:b/>
          <w:i/>
          <w:lang w:val="uk-UA"/>
        </w:rPr>
        <w:t>та дози.</w:t>
      </w:r>
    </w:p>
    <w:p w:rsidR="00000000" w:rsidRDefault="006C09F2">
      <w:pPr>
        <w:rPr>
          <w:lang w:val="uk-UA"/>
        </w:rPr>
      </w:pPr>
      <w:r>
        <w:rPr>
          <w:lang w:val="uk-UA"/>
        </w:rPr>
        <w:t>Дорослим і дітям віком від 12 років приймати всередину по 20–30 крапель Солідагорену зі 100–200 мл води 3 рази на день. 30 крапель відповідають 1,4 мл лікарського засобу.</w:t>
      </w:r>
    </w:p>
    <w:p w:rsidR="00000000" w:rsidRDefault="006C09F2">
      <w:pPr>
        <w:rPr>
          <w:lang w:val="uk-UA"/>
        </w:rPr>
      </w:pPr>
      <w:r>
        <w:rPr>
          <w:lang w:val="uk-UA"/>
        </w:rPr>
        <w:t>Споживання рідини протягом доби при прийомі Солідагорену має становити не ме</w:t>
      </w:r>
      <w:r>
        <w:rPr>
          <w:lang w:val="uk-UA"/>
        </w:rPr>
        <w:t>нше 1,5–2 л.</w:t>
      </w:r>
    </w:p>
    <w:p w:rsidR="00000000" w:rsidRDefault="006C09F2">
      <w:pPr>
        <w:jc w:val="both"/>
        <w:rPr>
          <w:bCs/>
          <w:i/>
          <w:iCs/>
          <w:lang w:val="uk-UA" w:eastAsia="uk-UA"/>
        </w:rPr>
      </w:pPr>
      <w:r>
        <w:rPr>
          <w:lang w:val="uk-UA"/>
        </w:rPr>
        <w:t>Тривалість застосування лікарського засобу визначається лікарем і залежить від перебігу та тяжкості захворювання. Якщо симптоми захворювання не зменшуються, або виникають будь-які побічні реакції, необхідно припинити застосування цього лікарсь</w:t>
      </w:r>
      <w:r>
        <w:rPr>
          <w:lang w:val="uk-UA"/>
        </w:rPr>
        <w:t>кого засобу та проконсультуватися з лікарем.</w:t>
      </w:r>
    </w:p>
    <w:p w:rsidR="00000000" w:rsidRDefault="006C09F2">
      <w:pPr>
        <w:rPr>
          <w:bCs/>
          <w:i/>
          <w:iCs/>
          <w:sz w:val="16"/>
          <w:szCs w:val="16"/>
          <w:lang w:val="uk-UA" w:eastAsia="uk-UA"/>
        </w:rPr>
      </w:pPr>
    </w:p>
    <w:p w:rsidR="00000000" w:rsidRDefault="006C09F2">
      <w:pPr>
        <w:rPr>
          <w:bCs/>
          <w:i/>
          <w:iCs/>
          <w:lang w:val="uk-UA" w:eastAsia="uk-UA"/>
        </w:rPr>
      </w:pPr>
      <w:r>
        <w:rPr>
          <w:bCs/>
          <w:i/>
          <w:iCs/>
          <w:lang w:eastAsia="uk-UA"/>
        </w:rPr>
        <w:t>Діти.</w:t>
      </w:r>
    </w:p>
    <w:p w:rsidR="00000000" w:rsidRDefault="006C09F2">
      <w:pPr>
        <w:rPr>
          <w:lang w:val="uk-UA"/>
        </w:rPr>
      </w:pPr>
      <w:r>
        <w:rPr>
          <w:lang w:val="uk-UA"/>
        </w:rPr>
        <w:t>Лікарський засіб не застосовувати дітям віком до 12 років.</w:t>
      </w:r>
    </w:p>
    <w:p w:rsidR="00000000" w:rsidRDefault="006C09F2">
      <w:pPr>
        <w:rPr>
          <w:sz w:val="16"/>
          <w:szCs w:val="16"/>
        </w:rPr>
      </w:pPr>
    </w:p>
    <w:p w:rsidR="00000000" w:rsidRDefault="006C09F2">
      <w:pPr>
        <w:ind w:left="360" w:hanging="360"/>
        <w:jc w:val="both"/>
        <w:rPr>
          <w:b/>
          <w:i/>
          <w:lang w:val="uk-UA"/>
        </w:rPr>
      </w:pPr>
      <w:r>
        <w:rPr>
          <w:b/>
          <w:i/>
          <w:lang w:val="uk-UA"/>
        </w:rPr>
        <w:t>Передозування.</w:t>
      </w:r>
    </w:p>
    <w:p w:rsidR="00000000" w:rsidRDefault="006C09F2">
      <w:pPr>
        <w:rPr>
          <w:lang w:val="uk-UA"/>
        </w:rPr>
      </w:pPr>
      <w:r>
        <w:rPr>
          <w:lang w:val="uk-UA"/>
        </w:rPr>
        <w:t>Повідомлення відсутні. У разі передозування можливе посилення побічних реакцій.</w:t>
      </w:r>
    </w:p>
    <w:p w:rsidR="00000000" w:rsidRDefault="006C09F2">
      <w:pPr>
        <w:rPr>
          <w:sz w:val="16"/>
          <w:szCs w:val="16"/>
          <w:lang w:val="uk-UA"/>
        </w:rPr>
      </w:pPr>
    </w:p>
    <w:p w:rsidR="00000000" w:rsidRDefault="006C09F2">
      <w:pPr>
        <w:jc w:val="both"/>
        <w:rPr>
          <w:i/>
          <w:lang w:val="uk-UA"/>
        </w:rPr>
      </w:pPr>
      <w:r>
        <w:rPr>
          <w:b/>
          <w:i/>
          <w:lang w:val="uk-UA"/>
        </w:rPr>
        <w:t>Побічні реакції.</w:t>
      </w:r>
    </w:p>
    <w:p w:rsidR="00000000" w:rsidRDefault="006C09F2">
      <w:pPr>
        <w:rPr>
          <w:lang w:val="uk-UA"/>
        </w:rPr>
      </w:pPr>
      <w:r>
        <w:rPr>
          <w:lang w:val="uk-UA"/>
        </w:rPr>
        <w:t>Дуже рідко спостерігаються реак</w:t>
      </w:r>
      <w:r>
        <w:rPr>
          <w:lang w:val="uk-UA"/>
        </w:rPr>
        <w:t>ції гіперчутливості та алергічні реакції. Можливі легкі шлунково-кишкові розлади (частота невідома).</w:t>
      </w:r>
    </w:p>
    <w:p w:rsidR="00000000" w:rsidRDefault="006C09F2">
      <w:pPr>
        <w:jc w:val="both"/>
        <w:rPr>
          <w:lang w:val="uk-UA"/>
        </w:rPr>
      </w:pPr>
      <w:r>
        <w:rPr>
          <w:lang w:val="uk-UA"/>
        </w:rPr>
        <w:t>У разі появи перших ознак реакції гіперчутливості (наприклад висипу) прийом лікарського засобу слід припинити.</w:t>
      </w:r>
    </w:p>
    <w:p w:rsidR="00000000" w:rsidRDefault="006C09F2">
      <w:pPr>
        <w:jc w:val="both"/>
        <w:rPr>
          <w:lang w:val="uk-UA"/>
        </w:rPr>
      </w:pPr>
      <w:r>
        <w:rPr>
          <w:lang w:val="uk-UA"/>
        </w:rPr>
        <w:t>У разі появи побічних реакцій, що не вказані</w:t>
      </w:r>
      <w:r>
        <w:rPr>
          <w:lang w:val="uk-UA"/>
        </w:rPr>
        <w:t xml:space="preserve"> в інструкції, слід звернутися до лікаря.</w:t>
      </w:r>
    </w:p>
    <w:p w:rsidR="00000000" w:rsidRDefault="006C09F2">
      <w:pPr>
        <w:rPr>
          <w:sz w:val="16"/>
          <w:szCs w:val="16"/>
          <w:lang w:val="en-US"/>
        </w:rPr>
      </w:pPr>
    </w:p>
    <w:p w:rsidR="00000000" w:rsidRDefault="006C09F2">
      <w:pPr>
        <w:rPr>
          <w:b/>
          <w:bCs/>
          <w:i/>
          <w:lang w:val="uk-UA" w:eastAsia="uk-UA"/>
        </w:rPr>
      </w:pPr>
      <w:r>
        <w:rPr>
          <w:b/>
          <w:bCs/>
          <w:i/>
          <w:lang w:eastAsia="uk-UA"/>
        </w:rPr>
        <w:t>Термін придатності.</w:t>
      </w:r>
    </w:p>
    <w:p w:rsidR="00000000" w:rsidRDefault="006C09F2">
      <w:pPr>
        <w:rPr>
          <w:lang w:val="uk-UA"/>
        </w:rPr>
      </w:pPr>
      <w:r>
        <w:rPr>
          <w:lang w:val="uk-UA"/>
        </w:rPr>
        <w:t>3 роки.</w:t>
      </w:r>
    </w:p>
    <w:p w:rsidR="00000000" w:rsidRDefault="006C09F2">
      <w:pPr>
        <w:rPr>
          <w:lang w:val="uk-UA"/>
        </w:rPr>
      </w:pPr>
      <w:r>
        <w:rPr>
          <w:lang w:val="uk-UA"/>
        </w:rPr>
        <w:t>Після відкриття флакона – 3 місяці.</w:t>
      </w:r>
    </w:p>
    <w:p w:rsidR="00000000" w:rsidRDefault="006C09F2">
      <w:pPr>
        <w:rPr>
          <w:sz w:val="16"/>
          <w:szCs w:val="16"/>
          <w:lang w:val="uk-UA"/>
        </w:rPr>
      </w:pPr>
    </w:p>
    <w:p w:rsidR="00000000" w:rsidRDefault="006C09F2">
      <w:pPr>
        <w:rPr>
          <w:lang w:val="uk-UA"/>
        </w:rPr>
      </w:pPr>
      <w:r>
        <w:rPr>
          <w:b/>
          <w:lang w:val="uk-UA"/>
        </w:rPr>
        <w:t>Умови зберігання.</w:t>
      </w:r>
      <w:r>
        <w:rPr>
          <w:lang w:val="uk-UA"/>
        </w:rPr>
        <w:t xml:space="preserve"> </w:t>
      </w:r>
    </w:p>
    <w:p w:rsidR="00000000" w:rsidRDefault="006C09F2">
      <w:pPr>
        <w:pStyle w:val="a9"/>
        <w:rPr>
          <w:lang w:val="ru-RU"/>
        </w:rPr>
      </w:pPr>
      <w:r>
        <w:t>Зберігати при температурі не вище 25 °С</w:t>
      </w:r>
      <w:r>
        <w:rPr>
          <w:lang w:val="ru-RU"/>
        </w:rPr>
        <w:t>.</w:t>
      </w:r>
    </w:p>
    <w:p w:rsidR="00000000" w:rsidRDefault="006C09F2">
      <w:pPr>
        <w:pStyle w:val="a9"/>
      </w:pPr>
      <w:r>
        <w:t>Зберігати у недоступному для дітей місці.</w:t>
      </w:r>
    </w:p>
    <w:p w:rsidR="00000000" w:rsidRDefault="006C09F2">
      <w:pPr>
        <w:pStyle w:val="Text"/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000000" w:rsidRDefault="006C09F2">
      <w:pPr>
        <w:jc w:val="both"/>
        <w:rPr>
          <w:lang w:val="uk-UA"/>
        </w:rPr>
      </w:pPr>
      <w:r>
        <w:rPr>
          <w:b/>
          <w:lang w:val="uk-UA"/>
        </w:rPr>
        <w:t>Упаковка.</w:t>
      </w:r>
    </w:p>
    <w:p w:rsidR="00000000" w:rsidRDefault="006C09F2">
      <w:pPr>
        <w:jc w:val="both"/>
        <w:rPr>
          <w:lang w:val="uk-UA"/>
        </w:rPr>
      </w:pPr>
      <w:r>
        <w:rPr>
          <w:lang w:val="uk-UA"/>
        </w:rPr>
        <w:t>По 20 мл або по 50 мл, або по 100 м</w:t>
      </w:r>
      <w:r>
        <w:rPr>
          <w:lang w:val="uk-UA"/>
        </w:rPr>
        <w:t>л у флаконі з крапельницею; по 1 флакону в коробці з картону.</w:t>
      </w:r>
    </w:p>
    <w:p w:rsidR="00000000" w:rsidRDefault="006C09F2">
      <w:pPr>
        <w:pStyle w:val="Text"/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00000" w:rsidRDefault="006C09F2">
      <w:pPr>
        <w:pStyle w:val="Text"/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Категорія відпуску. </w:t>
      </w:r>
      <w:r>
        <w:rPr>
          <w:rFonts w:ascii="Times New Roman" w:hAnsi="Times New Roman"/>
          <w:sz w:val="24"/>
          <w:szCs w:val="24"/>
          <w:lang w:val="uk-UA"/>
        </w:rPr>
        <w:t>Без рецепта.</w:t>
      </w:r>
    </w:p>
    <w:p w:rsidR="00000000" w:rsidRDefault="006C09F2">
      <w:pPr>
        <w:pStyle w:val="a9"/>
        <w:tabs>
          <w:tab w:val="left" w:pos="3600"/>
        </w:tabs>
        <w:jc w:val="left"/>
        <w:rPr>
          <w:sz w:val="16"/>
          <w:szCs w:val="16"/>
          <w:lang w:val="ru-RU"/>
        </w:rPr>
      </w:pPr>
    </w:p>
    <w:p w:rsidR="00000000" w:rsidRDefault="006C09F2">
      <w:pPr>
        <w:jc w:val="both"/>
        <w:rPr>
          <w:b/>
          <w:lang w:val="uk-UA"/>
        </w:rPr>
      </w:pPr>
      <w:r>
        <w:rPr>
          <w:b/>
          <w:lang w:val="uk-UA"/>
        </w:rPr>
        <w:t xml:space="preserve">Виробник. </w:t>
      </w:r>
    </w:p>
    <w:p w:rsidR="00000000" w:rsidRDefault="006C09F2">
      <w:pPr>
        <w:jc w:val="both"/>
        <w:rPr>
          <w:lang w:val="uk-UA"/>
        </w:rPr>
      </w:pPr>
      <w:r>
        <w:t>Др. Густав Кляйн ГмбХ &amp; Ко. КГ</w:t>
      </w:r>
      <w:r>
        <w:rPr>
          <w:lang w:val="uk-UA"/>
        </w:rPr>
        <w:t>/</w:t>
      </w:r>
    </w:p>
    <w:p w:rsidR="00000000" w:rsidRDefault="006C09F2">
      <w:pPr>
        <w:jc w:val="both"/>
        <w:rPr>
          <w:lang w:val="uk-UA"/>
        </w:rPr>
      </w:pPr>
      <w:r>
        <w:rPr>
          <w:lang w:val="en-US"/>
        </w:rPr>
        <w:t>Dr. Gustav Klein GmbH &amp; Co. KG</w:t>
      </w:r>
    </w:p>
    <w:p w:rsidR="00000000" w:rsidRDefault="006C09F2">
      <w:pPr>
        <w:jc w:val="both"/>
        <w:rPr>
          <w:b/>
          <w:sz w:val="16"/>
          <w:szCs w:val="16"/>
          <w:lang w:val="uk-UA"/>
        </w:rPr>
      </w:pPr>
    </w:p>
    <w:p w:rsidR="00000000" w:rsidRDefault="006C09F2">
      <w:pPr>
        <w:jc w:val="both"/>
        <w:rPr>
          <w:b/>
          <w:lang w:val="uk-UA"/>
        </w:rPr>
      </w:pPr>
      <w:r>
        <w:rPr>
          <w:b/>
          <w:lang w:val="uk-UA"/>
        </w:rPr>
        <w:t>Місцезнаходження виробника та адреса місця провадження його діяльності.</w:t>
      </w:r>
    </w:p>
    <w:p w:rsidR="00000000" w:rsidRDefault="006C09F2">
      <w:pPr>
        <w:pStyle w:val="a9"/>
        <w:tabs>
          <w:tab w:val="left" w:pos="3600"/>
        </w:tabs>
        <w:rPr>
          <w:szCs w:val="24"/>
          <w:lang w:val="ru-RU"/>
        </w:rPr>
      </w:pPr>
      <w:r>
        <w:rPr>
          <w:szCs w:val="24"/>
          <w:lang w:val="ru-RU"/>
        </w:rPr>
        <w:t>Штайненфельд</w:t>
      </w:r>
      <w:r>
        <w:rPr>
          <w:szCs w:val="24"/>
          <w:lang w:val="ru-RU"/>
        </w:rPr>
        <w:t xml:space="preserve"> 3, 77736 Целль ам Хармерсбах, Німеччина/ </w:t>
      </w:r>
    </w:p>
    <w:p w:rsidR="00000000" w:rsidRDefault="006C09F2">
      <w:pPr>
        <w:pStyle w:val="a9"/>
        <w:tabs>
          <w:tab w:val="left" w:pos="3600"/>
        </w:tabs>
        <w:rPr>
          <w:szCs w:val="24"/>
          <w:lang w:val="en-US"/>
        </w:rPr>
      </w:pPr>
      <w:r>
        <w:rPr>
          <w:szCs w:val="24"/>
          <w:lang w:val="en-US"/>
        </w:rPr>
        <w:t>Steinenfeld 3, 77736 Zell am Harmersbach, Germany.</w:t>
      </w:r>
    </w:p>
    <w:p w:rsidR="00000000" w:rsidRDefault="006C09F2">
      <w:pPr>
        <w:pStyle w:val="a9"/>
        <w:tabs>
          <w:tab w:val="left" w:pos="3600"/>
        </w:tabs>
        <w:jc w:val="left"/>
        <w:rPr>
          <w:szCs w:val="24"/>
          <w:lang w:val="en-US"/>
        </w:rPr>
      </w:pPr>
    </w:p>
    <w:p w:rsidR="00000000" w:rsidRDefault="006C09F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000000" w:rsidRDefault="006C09F2">
      <w:pPr>
        <w:jc w:val="center"/>
        <w:rPr>
          <w:b/>
        </w:rPr>
      </w:pPr>
      <w:r>
        <w:rPr>
          <w:b/>
        </w:rPr>
        <w:lastRenderedPageBreak/>
        <w:t>ИНСТРУКЦИЯ</w:t>
      </w:r>
    </w:p>
    <w:p w:rsidR="00000000" w:rsidRDefault="006C09F2">
      <w:pPr>
        <w:jc w:val="center"/>
        <w:rPr>
          <w:b/>
        </w:rPr>
      </w:pPr>
      <w:r>
        <w:rPr>
          <w:b/>
        </w:rPr>
        <w:t>по медицинскому применению лекарственного средства</w:t>
      </w:r>
    </w:p>
    <w:p w:rsidR="00000000" w:rsidRDefault="006C09F2">
      <w:pPr>
        <w:pStyle w:val="4"/>
        <w:jc w:val="center"/>
        <w:rPr>
          <w:rFonts w:ascii="Times New Roman" w:eastAsia="Times New Roman" w:hAnsi="Times New Roman"/>
          <w:sz w:val="16"/>
          <w:szCs w:val="16"/>
        </w:rPr>
      </w:pPr>
    </w:p>
    <w:p w:rsidR="00000000" w:rsidRDefault="006C09F2">
      <w:pPr>
        <w:shd w:val="clear" w:color="auto" w:fill="FFFFFF"/>
        <w:spacing w:line="274" w:lineRule="exact"/>
        <w:ind w:right="235"/>
        <w:jc w:val="center"/>
      </w:pPr>
      <w:r>
        <w:rPr>
          <w:b/>
          <w:bCs/>
        </w:rPr>
        <w:t>СОЛИДАГОРЕН</w:t>
      </w:r>
    </w:p>
    <w:p w:rsidR="00000000" w:rsidRDefault="006C09F2">
      <w:pPr>
        <w:shd w:val="clear" w:color="auto" w:fill="FFFFFF"/>
        <w:spacing w:line="274" w:lineRule="exact"/>
        <w:ind w:right="235"/>
        <w:jc w:val="center"/>
      </w:pPr>
      <w:r>
        <w:rPr>
          <w:b/>
          <w:bCs/>
        </w:rPr>
        <w:t>(SOLIDAGOREN</w:t>
      </w:r>
      <w:r>
        <w:rPr>
          <w:b/>
          <w:bCs/>
          <w:vertAlign w:val="superscript"/>
        </w:rPr>
        <w:t>®</w:t>
      </w:r>
      <w:r>
        <w:rPr>
          <w:b/>
          <w:bCs/>
        </w:rPr>
        <w:t>)</w:t>
      </w:r>
    </w:p>
    <w:p w:rsidR="00000000" w:rsidRDefault="006C09F2">
      <w:pPr>
        <w:rPr>
          <w:sz w:val="16"/>
          <w:szCs w:val="16"/>
          <w:lang w:val="uk-UA"/>
        </w:rPr>
      </w:pPr>
    </w:p>
    <w:p w:rsidR="00000000" w:rsidRDefault="006C09F2">
      <w:pPr>
        <w:pStyle w:val="Text"/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Состав:</w:t>
      </w:r>
    </w:p>
    <w:p w:rsidR="00000000" w:rsidRDefault="006C09F2">
      <w:pPr>
        <w:jc w:val="both"/>
      </w:pPr>
      <w:r>
        <w:rPr>
          <w:i/>
        </w:rPr>
        <w:t>действующее вещество:</w:t>
      </w:r>
      <w:r>
        <w:t xml:space="preserve"> жидкий экстракт из смеси травы золотар</w:t>
      </w:r>
      <w:r>
        <w:t xml:space="preserve">ника обыкновенного </w:t>
      </w:r>
      <w:r>
        <w:rPr>
          <w:i/>
        </w:rPr>
        <w:t>(Solidago virgaurea L.),</w:t>
      </w:r>
      <w:r>
        <w:t xml:space="preserve"> травы лапчатки гусиной </w:t>
      </w:r>
      <w:r>
        <w:rPr>
          <w:i/>
        </w:rPr>
        <w:t>(Potentilla anserina L.),</w:t>
      </w:r>
      <w:r>
        <w:t xml:space="preserve"> травы хвоща полевого </w:t>
      </w:r>
      <w:r>
        <w:rPr>
          <w:i/>
        </w:rPr>
        <w:t>(Equisetum arvense L.)</w:t>
      </w:r>
      <w:r>
        <w:t>;</w:t>
      </w:r>
    </w:p>
    <w:p w:rsidR="00000000" w:rsidRDefault="006C09F2">
      <w:pPr>
        <w:jc w:val="both"/>
      </w:pPr>
      <w:r>
        <w:t xml:space="preserve">10 мл препарата содержат 7,9 мл жидкого экстракта (1 : 1,5–2,1) из смеси травы золотарника обыкновенного </w:t>
      </w:r>
      <w:r>
        <w:rPr>
          <w:i/>
        </w:rPr>
        <w:t>(Solidago vir</w:t>
      </w:r>
      <w:r>
        <w:rPr>
          <w:i/>
        </w:rPr>
        <w:t>gaurea L.),</w:t>
      </w:r>
      <w:r>
        <w:t xml:space="preserve"> травы лапчатки гусиной </w:t>
      </w:r>
      <w:r>
        <w:rPr>
          <w:i/>
        </w:rPr>
        <w:t>(Potentilla anserina L.),</w:t>
      </w:r>
      <w:r>
        <w:t xml:space="preserve"> травы хвоща </w:t>
      </w:r>
      <w:r>
        <w:rPr>
          <w:i/>
        </w:rPr>
        <w:t>(Equisetum arvense L.)</w:t>
      </w:r>
      <w:r>
        <w:t xml:space="preserve"> (4,2 : 1,4 : 1), экстрагент: этанол 50 % (об/об);</w:t>
      </w:r>
    </w:p>
    <w:p w:rsidR="00000000" w:rsidRDefault="006C09F2">
      <w:pPr>
        <w:jc w:val="both"/>
      </w:pPr>
      <w:r>
        <w:rPr>
          <w:i/>
        </w:rPr>
        <w:t>вспомогательные вещества:</w:t>
      </w:r>
      <w:r>
        <w:t xml:space="preserve"> вода очищенная, этанол 96 %.</w:t>
      </w:r>
    </w:p>
    <w:p w:rsidR="00000000" w:rsidRDefault="006C09F2">
      <w:pPr>
        <w:rPr>
          <w:b/>
          <w:sz w:val="16"/>
          <w:szCs w:val="16"/>
        </w:rPr>
      </w:pPr>
    </w:p>
    <w:p w:rsidR="00000000" w:rsidRDefault="006C09F2">
      <w:r>
        <w:rPr>
          <w:b/>
        </w:rPr>
        <w:t xml:space="preserve">Лекарственная форма. </w:t>
      </w:r>
      <w:r>
        <w:t>Капли оральные.</w:t>
      </w:r>
    </w:p>
    <w:p w:rsidR="00000000" w:rsidRDefault="006C09F2">
      <w:r>
        <w:rPr>
          <w:i/>
        </w:rPr>
        <w:t>Основные физико-х</w:t>
      </w:r>
      <w:r>
        <w:rPr>
          <w:i/>
        </w:rPr>
        <w:t>имические свойства:</w:t>
      </w:r>
      <w:r>
        <w:rPr>
          <w:i/>
          <w:lang w:val="uk-UA"/>
        </w:rPr>
        <w:t xml:space="preserve"> </w:t>
      </w:r>
      <w:r>
        <w:t>прозрачная жидкость коричневого цвета.</w:t>
      </w:r>
    </w:p>
    <w:p w:rsidR="00000000" w:rsidRDefault="006C09F2">
      <w:pPr>
        <w:rPr>
          <w:b/>
          <w:sz w:val="16"/>
          <w:szCs w:val="16"/>
        </w:rPr>
      </w:pPr>
    </w:p>
    <w:p w:rsidR="00000000" w:rsidRDefault="006C09F2">
      <w:pPr>
        <w:jc w:val="both"/>
      </w:pPr>
      <w:r>
        <w:rPr>
          <w:b/>
        </w:rPr>
        <w:t>Фармакотерапевтическая группа.</w:t>
      </w:r>
    </w:p>
    <w:p w:rsidR="00000000" w:rsidRDefault="006C09F2">
      <w:pPr>
        <w:jc w:val="both"/>
        <w:rPr>
          <w:bCs/>
        </w:rPr>
      </w:pPr>
      <w:r>
        <w:rPr>
          <w:bCs/>
        </w:rPr>
        <w:t>Средства, применяемые в урологии. Код АТХ G04B.</w:t>
      </w:r>
    </w:p>
    <w:p w:rsidR="00000000" w:rsidRDefault="006C09F2">
      <w:pPr>
        <w:jc w:val="both"/>
        <w:rPr>
          <w:b/>
          <w:i/>
        </w:rPr>
      </w:pPr>
    </w:p>
    <w:p w:rsidR="00000000" w:rsidRDefault="006C09F2">
      <w:pPr>
        <w:jc w:val="both"/>
        <w:rPr>
          <w:b/>
        </w:rPr>
      </w:pPr>
      <w:r>
        <w:rPr>
          <w:b/>
        </w:rPr>
        <w:t>Фармакологические свойства.</w:t>
      </w:r>
    </w:p>
    <w:p w:rsidR="00000000" w:rsidRDefault="006C09F2">
      <w:pPr>
        <w:jc w:val="both"/>
      </w:pPr>
      <w:r>
        <w:t>Фармакодинамика.</w:t>
      </w:r>
      <w:r>
        <w:rPr>
          <w:b/>
        </w:rPr>
        <w:t xml:space="preserve"> </w:t>
      </w:r>
      <w:r>
        <w:t>Исследования не проводились.</w:t>
      </w:r>
    </w:p>
    <w:p w:rsidR="00000000" w:rsidRDefault="006C09F2">
      <w:pPr>
        <w:jc w:val="both"/>
        <w:rPr>
          <w:b/>
        </w:rPr>
      </w:pPr>
    </w:p>
    <w:p w:rsidR="00000000" w:rsidRDefault="006C09F2">
      <w:pPr>
        <w:jc w:val="both"/>
      </w:pPr>
      <w:r>
        <w:t>Фармакокинетика.</w:t>
      </w:r>
      <w:r>
        <w:rPr>
          <w:b/>
        </w:rPr>
        <w:t xml:space="preserve"> </w:t>
      </w:r>
      <w:r>
        <w:t>Исследования не проводил</w:t>
      </w:r>
      <w:r>
        <w:t>ись.</w:t>
      </w:r>
    </w:p>
    <w:p w:rsidR="00000000" w:rsidRDefault="006C09F2">
      <w:pPr>
        <w:jc w:val="both"/>
        <w:rPr>
          <w:b/>
        </w:rPr>
      </w:pPr>
    </w:p>
    <w:p w:rsidR="00000000" w:rsidRDefault="006C09F2">
      <w:pPr>
        <w:jc w:val="both"/>
        <w:rPr>
          <w:b/>
        </w:rPr>
      </w:pPr>
      <w:r>
        <w:rPr>
          <w:b/>
        </w:rPr>
        <w:t>Клинические характеристики.</w:t>
      </w:r>
    </w:p>
    <w:p w:rsidR="00000000" w:rsidRDefault="006C09F2">
      <w:pPr>
        <w:jc w:val="both"/>
        <w:rPr>
          <w:i/>
        </w:rPr>
      </w:pPr>
      <w:r>
        <w:rPr>
          <w:b/>
          <w:i/>
        </w:rPr>
        <w:t>Показания.</w:t>
      </w:r>
    </w:p>
    <w:p w:rsidR="00000000" w:rsidRDefault="006C09F2">
      <w:pPr>
        <w:jc w:val="both"/>
      </w:pPr>
      <w:r>
        <w:t>Острые и хронические инфекции мочевыводящих путей (цистит, пиелонефрит) легкой и средней степени тяжести в составе комплексной терапии.</w:t>
      </w:r>
    </w:p>
    <w:p w:rsidR="00000000" w:rsidRDefault="006C09F2">
      <w:pPr>
        <w:jc w:val="both"/>
      </w:pPr>
      <w:r>
        <w:t>Профилактика образования камней в мочевом пузыре, в том числе и после их уд</w:t>
      </w:r>
      <w:r>
        <w:t>аления.</w:t>
      </w:r>
    </w:p>
    <w:p w:rsidR="00000000" w:rsidRDefault="006C09F2">
      <w:pPr>
        <w:jc w:val="both"/>
        <w:rPr>
          <w:b/>
          <w:sz w:val="16"/>
          <w:szCs w:val="16"/>
        </w:rPr>
      </w:pPr>
    </w:p>
    <w:p w:rsidR="00000000" w:rsidRDefault="006C09F2">
      <w:pPr>
        <w:rPr>
          <w:b/>
          <w:i/>
        </w:rPr>
      </w:pPr>
      <w:r>
        <w:rPr>
          <w:b/>
          <w:i/>
        </w:rPr>
        <w:t>Противопоказания.</w:t>
      </w:r>
    </w:p>
    <w:p w:rsidR="00000000" w:rsidRDefault="006C09F2">
      <w:pPr>
        <w:jc w:val="both"/>
        <w:rPr>
          <w:bCs/>
        </w:rPr>
      </w:pPr>
      <w:r>
        <w:rPr>
          <w:bCs/>
        </w:rPr>
        <w:t>Повышенная чувствительность к действующему веществу или любому другому компоненту лекарственного средства. Солидагорен не следует применять в случае аллергии на растения семейства астровы</w:t>
      </w:r>
      <w:r>
        <w:rPr>
          <w:bCs/>
          <w:lang w:val="uk-UA"/>
        </w:rPr>
        <w:t xml:space="preserve">х </w:t>
      </w:r>
      <w:r>
        <w:rPr>
          <w:bCs/>
          <w:i/>
        </w:rPr>
        <w:t>(Asteraceae),</w:t>
      </w:r>
      <w:r>
        <w:rPr>
          <w:bCs/>
        </w:rPr>
        <w:t xml:space="preserve"> поскольку эти растения исп</w:t>
      </w:r>
      <w:r>
        <w:rPr>
          <w:bCs/>
        </w:rPr>
        <w:t>ользуют при производстве растительного экстракта, который входит в состав лекарственного средства.</w:t>
      </w:r>
    </w:p>
    <w:p w:rsidR="00000000" w:rsidRDefault="006C09F2">
      <w:pPr>
        <w:jc w:val="both"/>
        <w:rPr>
          <w:bCs/>
        </w:rPr>
      </w:pPr>
      <w:r>
        <w:rPr>
          <w:bCs/>
        </w:rPr>
        <w:t>Тяжелая сердечная и почечная недостаточность, включая заболевания, при которых необходимо потреблять уменьшенное количество жидкости.</w:t>
      </w:r>
    </w:p>
    <w:p w:rsidR="00000000" w:rsidRDefault="006C09F2">
      <w:pPr>
        <w:rPr>
          <w:b/>
          <w:sz w:val="16"/>
          <w:szCs w:val="16"/>
          <w:lang w:val="uk-UA"/>
        </w:rPr>
      </w:pPr>
    </w:p>
    <w:p w:rsidR="00000000" w:rsidRDefault="006C09F2">
      <w:pPr>
        <w:jc w:val="both"/>
        <w:rPr>
          <w:i/>
          <w:lang w:val="uk-UA"/>
        </w:rPr>
      </w:pPr>
      <w:r>
        <w:rPr>
          <w:b/>
          <w:i/>
        </w:rPr>
        <w:t>Взаимодействие с други</w:t>
      </w:r>
      <w:r>
        <w:rPr>
          <w:b/>
          <w:i/>
        </w:rPr>
        <w:t>ми лекарственными средствами и другие виды взаимодействий.</w:t>
      </w:r>
    </w:p>
    <w:p w:rsidR="00000000" w:rsidRDefault="006C09F2">
      <w:pPr>
        <w:jc w:val="both"/>
        <w:rPr>
          <w:bCs/>
        </w:rPr>
      </w:pPr>
      <w:r>
        <w:rPr>
          <w:bCs/>
        </w:rPr>
        <w:t>Случаи взаимодействия с другими лекарственными средствами неизвестны.</w:t>
      </w:r>
    </w:p>
    <w:p w:rsidR="00000000" w:rsidRDefault="006C09F2">
      <w:pPr>
        <w:jc w:val="both"/>
        <w:rPr>
          <w:bCs/>
        </w:rPr>
      </w:pPr>
      <w:r>
        <w:rPr>
          <w:bCs/>
        </w:rPr>
        <w:t>Из-за наличия этанола в этом лекарственном средстве возможно влияние на действие других препаратов.</w:t>
      </w:r>
    </w:p>
    <w:p w:rsidR="00000000" w:rsidRDefault="006C09F2">
      <w:pPr>
        <w:rPr>
          <w:b/>
          <w:sz w:val="16"/>
          <w:szCs w:val="16"/>
        </w:rPr>
      </w:pPr>
    </w:p>
    <w:p w:rsidR="00000000" w:rsidRDefault="006C09F2">
      <w:pPr>
        <w:rPr>
          <w:b/>
          <w:i/>
        </w:rPr>
      </w:pPr>
      <w:r>
        <w:rPr>
          <w:b/>
          <w:i/>
        </w:rPr>
        <w:t>Особенности применения.</w:t>
      </w:r>
    </w:p>
    <w:p w:rsidR="00000000" w:rsidRDefault="006C09F2">
      <w:pPr>
        <w:tabs>
          <w:tab w:val="left" w:pos="7635"/>
        </w:tabs>
        <w:jc w:val="both"/>
        <w:rPr>
          <w:lang w:val="uk-UA"/>
        </w:rPr>
      </w:pPr>
      <w:r>
        <w:t>Пр</w:t>
      </w:r>
      <w:r>
        <w:t>отивопоказано применять Солидагорен в качестве мочегонного средства для лечения отеков, вызванных сердечной или почечной недостаточностью, особенно у пожилых людей</w:t>
      </w:r>
      <w:r>
        <w:rPr>
          <w:lang w:val="uk-UA"/>
        </w:rPr>
        <w:t>.</w:t>
      </w:r>
    </w:p>
    <w:p w:rsidR="00000000" w:rsidRDefault="006C09F2">
      <w:pPr>
        <w:tabs>
          <w:tab w:val="left" w:pos="7635"/>
        </w:tabs>
        <w:jc w:val="both"/>
      </w:pPr>
      <w:r>
        <w:t>В случае появления крови в моче, высокой температуры тела или если симптомы заболевания сох</w:t>
      </w:r>
      <w:r>
        <w:t>раняются более 5 дней, рекомендуется обратиться к врачу.</w:t>
      </w:r>
    </w:p>
    <w:p w:rsidR="00000000" w:rsidRDefault="006C09F2">
      <w:pPr>
        <w:tabs>
          <w:tab w:val="left" w:pos="7635"/>
        </w:tabs>
        <w:jc w:val="both"/>
      </w:pPr>
      <w:r>
        <w:t>Лекарственное средство содержит 45 % (об/об) спирта. С каждым приемом рекомендуемой дозы (30 капель) в организм попадает 0,6 г спирта. Поэтому данное лекарственное средство вредно для пациентов, боль</w:t>
      </w:r>
      <w:r>
        <w:t>ных алкоголизмом. Следует быть осторожным при применении беременным и женщинам, кормящим грудью, детям, пациентам с заболеваниями печени и больным эпилепсией.</w:t>
      </w:r>
    </w:p>
    <w:p w:rsidR="00000000" w:rsidRDefault="006C09F2">
      <w:pPr>
        <w:tabs>
          <w:tab w:val="left" w:pos="7635"/>
        </w:tabs>
        <w:jc w:val="both"/>
        <w:rPr>
          <w:i/>
          <w:sz w:val="16"/>
          <w:szCs w:val="16"/>
        </w:rPr>
      </w:pPr>
    </w:p>
    <w:p w:rsidR="00000000" w:rsidRDefault="006C09F2">
      <w:pPr>
        <w:tabs>
          <w:tab w:val="left" w:pos="7635"/>
        </w:tabs>
        <w:jc w:val="both"/>
        <w:rPr>
          <w:i/>
        </w:rPr>
      </w:pPr>
      <w:r>
        <w:rPr>
          <w:i/>
        </w:rPr>
        <w:t>Применение в период беременности или кормления грудью.</w:t>
      </w:r>
    </w:p>
    <w:p w:rsidR="00000000" w:rsidRDefault="006C09F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Лекарственное средство не рекомендуется п</w:t>
      </w:r>
      <w:r>
        <w:rPr>
          <w:rFonts w:ascii="Times New Roman" w:hAnsi="Times New Roman"/>
          <w:sz w:val="24"/>
          <w:szCs w:val="24"/>
          <w:lang w:val="ru-RU"/>
        </w:rPr>
        <w:t xml:space="preserve">рименять в период беременности и кормления грудью. </w:t>
      </w:r>
    </w:p>
    <w:p w:rsidR="00000000" w:rsidRDefault="006C09F2">
      <w:pPr>
        <w:pStyle w:val="a6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000000" w:rsidRDefault="006C09F2">
      <w:pPr>
        <w:tabs>
          <w:tab w:val="left" w:pos="7635"/>
        </w:tabs>
        <w:jc w:val="both"/>
        <w:rPr>
          <w:i/>
        </w:rPr>
      </w:pPr>
      <w:r>
        <w:rPr>
          <w:i/>
        </w:rPr>
        <w:lastRenderedPageBreak/>
        <w:t xml:space="preserve">Способность влиять на скорость реакции при управлении автотранспортом или другими механизмами. </w:t>
      </w:r>
    </w:p>
    <w:p w:rsidR="00000000" w:rsidRDefault="006C09F2">
      <w:r>
        <w:t>При соблюдении рекомендованных доз не влияет на скорость реакции.</w:t>
      </w:r>
    </w:p>
    <w:p w:rsidR="00000000" w:rsidRDefault="006C09F2">
      <w:pPr>
        <w:rPr>
          <w:sz w:val="16"/>
          <w:szCs w:val="16"/>
        </w:rPr>
      </w:pPr>
    </w:p>
    <w:p w:rsidR="00000000" w:rsidRDefault="006C09F2">
      <w:pPr>
        <w:rPr>
          <w:b/>
          <w:i/>
        </w:rPr>
      </w:pPr>
      <w:r>
        <w:rPr>
          <w:b/>
          <w:i/>
        </w:rPr>
        <w:t>Способ применения и дозы.</w:t>
      </w:r>
    </w:p>
    <w:p w:rsidR="00000000" w:rsidRDefault="006C09F2">
      <w:pPr>
        <w:jc w:val="both"/>
        <w:rPr>
          <w:bCs/>
        </w:rPr>
      </w:pPr>
      <w:r>
        <w:rPr>
          <w:bCs/>
        </w:rPr>
        <w:t>Взрослым и дет</w:t>
      </w:r>
      <w:r>
        <w:rPr>
          <w:bCs/>
        </w:rPr>
        <w:t xml:space="preserve">ям в возрасте от 12 лет принимать внутрь по 20–30 капель Солидагорена со  </w:t>
      </w:r>
    </w:p>
    <w:p w:rsidR="00000000" w:rsidRDefault="006C09F2">
      <w:pPr>
        <w:jc w:val="both"/>
        <w:rPr>
          <w:bCs/>
        </w:rPr>
      </w:pPr>
      <w:r>
        <w:rPr>
          <w:bCs/>
        </w:rPr>
        <w:t>100–</w:t>
      </w:r>
      <w:r>
        <w:t>200 мл воды</w:t>
      </w:r>
      <w:r>
        <w:rPr>
          <w:bCs/>
        </w:rPr>
        <w:t xml:space="preserve"> 3 раза в день. 30 капель соответствуют 1,4 мл лекарственного средства.</w:t>
      </w:r>
    </w:p>
    <w:p w:rsidR="00000000" w:rsidRDefault="006C09F2">
      <w:pPr>
        <w:jc w:val="both"/>
      </w:pPr>
      <w:r>
        <w:t>Потребление жидкости в течение суток при приеме Солидагорена должно составлять не менее 1,5–2 </w:t>
      </w:r>
      <w:r>
        <w:t>л.</w:t>
      </w:r>
    </w:p>
    <w:p w:rsidR="00000000" w:rsidRDefault="006C09F2">
      <w:pPr>
        <w:jc w:val="both"/>
      </w:pPr>
      <w:r>
        <w:t xml:space="preserve">Длительность применения лекарственного средства определяется врачом и зависит от течения и тяжести заболевания. </w:t>
      </w:r>
      <w:r>
        <w:rPr>
          <w:lang w:val="uk-UA"/>
        </w:rPr>
        <w:t>Если симптомы заболевания не уменьшаются, или возникают любые побочные реакции, необходимо прекратить применение этого лекарственного средств</w:t>
      </w:r>
      <w:r>
        <w:rPr>
          <w:lang w:val="uk-UA"/>
        </w:rPr>
        <w:t>а и проконсультироватся с врачом.</w:t>
      </w:r>
    </w:p>
    <w:p w:rsidR="00000000" w:rsidRDefault="006C09F2">
      <w:pPr>
        <w:rPr>
          <w:i/>
          <w:sz w:val="16"/>
          <w:szCs w:val="16"/>
        </w:rPr>
      </w:pPr>
    </w:p>
    <w:p w:rsidR="00000000" w:rsidRDefault="006C09F2">
      <w:pPr>
        <w:rPr>
          <w:i/>
        </w:rPr>
      </w:pPr>
      <w:r>
        <w:rPr>
          <w:i/>
        </w:rPr>
        <w:t>Дети.</w:t>
      </w:r>
    </w:p>
    <w:p w:rsidR="00000000" w:rsidRDefault="006C09F2">
      <w:pPr>
        <w:ind w:left="360" w:hanging="360"/>
      </w:pPr>
      <w:r>
        <w:t>Лекарственное средство не рекомендуется применять детям в возрасте до 12 лет.</w:t>
      </w:r>
    </w:p>
    <w:p w:rsidR="00000000" w:rsidRDefault="006C09F2">
      <w:pPr>
        <w:ind w:left="360" w:hanging="360"/>
        <w:rPr>
          <w:b/>
          <w:i/>
          <w:sz w:val="16"/>
          <w:szCs w:val="16"/>
        </w:rPr>
      </w:pPr>
    </w:p>
    <w:p w:rsidR="00000000" w:rsidRDefault="006C09F2">
      <w:pPr>
        <w:ind w:left="360" w:hanging="360"/>
        <w:rPr>
          <w:b/>
          <w:i/>
          <w:lang w:val="uk-UA"/>
        </w:rPr>
      </w:pPr>
      <w:r>
        <w:rPr>
          <w:b/>
          <w:i/>
        </w:rPr>
        <w:t>Передозировка.</w:t>
      </w:r>
    </w:p>
    <w:p w:rsidR="00000000" w:rsidRDefault="006C09F2">
      <w:pPr>
        <w:jc w:val="both"/>
      </w:pPr>
      <w:r>
        <w:t>Сообщения отсутствуют. В случае передозировки возможно усиление побочных реакций.</w:t>
      </w:r>
    </w:p>
    <w:p w:rsidR="00000000" w:rsidRDefault="006C09F2">
      <w:pPr>
        <w:jc w:val="both"/>
        <w:rPr>
          <w:sz w:val="16"/>
          <w:szCs w:val="16"/>
          <w:lang w:val="uk-UA"/>
        </w:rPr>
      </w:pPr>
    </w:p>
    <w:p w:rsidR="00000000" w:rsidRDefault="006C09F2">
      <w:pPr>
        <w:jc w:val="both"/>
        <w:rPr>
          <w:i/>
          <w:lang w:val="uk-UA"/>
        </w:rPr>
      </w:pPr>
      <w:r>
        <w:rPr>
          <w:b/>
          <w:i/>
        </w:rPr>
        <w:t>Побочные реакции.</w:t>
      </w:r>
    </w:p>
    <w:p w:rsidR="00000000" w:rsidRDefault="006C09F2">
      <w:pPr>
        <w:jc w:val="both"/>
      </w:pPr>
      <w:r>
        <w:t>Очень редко наблюдаю</w:t>
      </w:r>
      <w:r>
        <w:t>тся реакции гиперчувствительности и аллергические реакции. Возможны легкие желудочно-кишечные расстройства (частота неизвестна).</w:t>
      </w:r>
    </w:p>
    <w:p w:rsidR="00000000" w:rsidRDefault="006C09F2">
      <w:pPr>
        <w:jc w:val="both"/>
      </w:pPr>
      <w:r>
        <w:t>В случае появления первых признаков реакции гиперчувствительности (например сыпи) прием лекарственного средства следует прекрат</w:t>
      </w:r>
      <w:r>
        <w:t>ить.</w:t>
      </w:r>
    </w:p>
    <w:p w:rsidR="00000000" w:rsidRDefault="006C09F2">
      <w:pPr>
        <w:jc w:val="both"/>
      </w:pPr>
      <w:r>
        <w:t>В случае появления любых других побочных реакций следует проконсультироваться с врачом.</w:t>
      </w:r>
    </w:p>
    <w:p w:rsidR="00000000" w:rsidRDefault="006C09F2">
      <w:pPr>
        <w:jc w:val="both"/>
        <w:rPr>
          <w:sz w:val="16"/>
          <w:szCs w:val="16"/>
          <w:lang w:val="uk-UA"/>
        </w:rPr>
      </w:pPr>
    </w:p>
    <w:p w:rsidR="00000000" w:rsidRDefault="006C09F2">
      <w:pPr>
        <w:rPr>
          <w:b/>
          <w:i/>
        </w:rPr>
      </w:pPr>
      <w:r>
        <w:rPr>
          <w:b/>
          <w:i/>
        </w:rPr>
        <w:t xml:space="preserve">Срок годности. </w:t>
      </w:r>
      <w:r>
        <w:t>3 года.</w:t>
      </w:r>
    </w:p>
    <w:p w:rsidR="00000000" w:rsidRDefault="006C09F2">
      <w:pPr>
        <w:pStyle w:val="Normal"/>
        <w:spacing w:before="0" w:after="0"/>
        <w:rPr>
          <w:szCs w:val="24"/>
        </w:rPr>
      </w:pPr>
      <w:r>
        <w:rPr>
          <w:szCs w:val="24"/>
        </w:rPr>
        <w:t>После вскрытия флакона – 3 месяца.</w:t>
      </w:r>
    </w:p>
    <w:p w:rsidR="00000000" w:rsidRDefault="006C09F2">
      <w:pPr>
        <w:pStyle w:val="Normal"/>
        <w:spacing w:before="0" w:after="0"/>
        <w:rPr>
          <w:b/>
          <w:sz w:val="16"/>
          <w:szCs w:val="16"/>
        </w:rPr>
      </w:pPr>
    </w:p>
    <w:p w:rsidR="00000000" w:rsidRDefault="006C09F2">
      <w:pPr>
        <w:pStyle w:val="Normal"/>
        <w:spacing w:before="0" w:after="0"/>
        <w:rPr>
          <w:szCs w:val="24"/>
        </w:rPr>
      </w:pPr>
      <w:r>
        <w:rPr>
          <w:b/>
          <w:szCs w:val="24"/>
        </w:rPr>
        <w:t>Условия хранения.</w:t>
      </w:r>
    </w:p>
    <w:p w:rsidR="00000000" w:rsidRDefault="006C09F2">
      <w:pPr>
        <w:rPr>
          <w:iCs/>
        </w:rPr>
      </w:pPr>
      <w:r>
        <w:rPr>
          <w:iCs/>
        </w:rPr>
        <w:t>Хранить при температуре не выше 25 °С.</w:t>
      </w:r>
    </w:p>
    <w:p w:rsidR="00000000" w:rsidRDefault="006C09F2">
      <w:pPr>
        <w:rPr>
          <w:iCs/>
        </w:rPr>
      </w:pPr>
      <w:r>
        <w:rPr>
          <w:iCs/>
        </w:rPr>
        <w:t>Хранить в недоступном для детей месте.</w:t>
      </w:r>
    </w:p>
    <w:p w:rsidR="00000000" w:rsidRDefault="006C09F2">
      <w:pPr>
        <w:rPr>
          <w:iCs/>
          <w:sz w:val="16"/>
          <w:szCs w:val="16"/>
          <w:lang w:val="uk-UA"/>
        </w:rPr>
      </w:pPr>
    </w:p>
    <w:p w:rsidR="00000000" w:rsidRDefault="006C09F2">
      <w:pPr>
        <w:rPr>
          <w:b/>
          <w:lang w:val="uk-UA"/>
        </w:rPr>
      </w:pPr>
      <w:r>
        <w:rPr>
          <w:b/>
          <w:lang w:val="uk-UA"/>
        </w:rPr>
        <w:t>Упаков</w:t>
      </w:r>
      <w:r>
        <w:rPr>
          <w:b/>
          <w:lang w:val="uk-UA"/>
        </w:rPr>
        <w:t>ка.</w:t>
      </w:r>
    </w:p>
    <w:p w:rsidR="00000000" w:rsidRDefault="006C09F2">
      <w:pPr>
        <w:pStyle w:val="Text"/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20 мл или по 50 мл, или по 100 мл во флаконе с капельницей; по 1 флакону в коробке из картона.</w:t>
      </w:r>
    </w:p>
    <w:p w:rsidR="00000000" w:rsidRDefault="006C09F2">
      <w:pPr>
        <w:pStyle w:val="Text"/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16"/>
          <w:szCs w:val="16"/>
          <w:lang w:val="ru-RU"/>
        </w:rPr>
      </w:pPr>
    </w:p>
    <w:p w:rsidR="00000000" w:rsidRDefault="006C09F2">
      <w:pPr>
        <w:pStyle w:val="Text"/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Категория отпуска.</w:t>
      </w:r>
    </w:p>
    <w:p w:rsidR="00000000" w:rsidRDefault="006C09F2">
      <w:pPr>
        <w:pStyle w:val="Text"/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Без рецепта.</w:t>
      </w:r>
    </w:p>
    <w:p w:rsidR="00000000" w:rsidRDefault="006C09F2">
      <w:pPr>
        <w:tabs>
          <w:tab w:val="center" w:pos="4536"/>
          <w:tab w:val="right" w:pos="9072"/>
        </w:tabs>
        <w:rPr>
          <w:b/>
          <w:bCs/>
          <w:sz w:val="16"/>
          <w:szCs w:val="16"/>
        </w:rPr>
      </w:pPr>
    </w:p>
    <w:p w:rsidR="00000000" w:rsidRDefault="006C09F2">
      <w:pPr>
        <w:tabs>
          <w:tab w:val="center" w:pos="4536"/>
          <w:tab w:val="right" w:pos="9072"/>
        </w:tabs>
        <w:rPr>
          <w:b/>
          <w:bCs/>
        </w:rPr>
      </w:pPr>
      <w:r>
        <w:rPr>
          <w:b/>
          <w:bCs/>
        </w:rPr>
        <w:t>Производитель.</w:t>
      </w:r>
    </w:p>
    <w:p w:rsidR="00000000" w:rsidRDefault="006C09F2">
      <w:pPr>
        <w:widowControl w:val="0"/>
        <w:tabs>
          <w:tab w:val="num" w:pos="-142"/>
          <w:tab w:val="left" w:pos="6521"/>
        </w:tabs>
        <w:jc w:val="both"/>
        <w:outlineLvl w:val="0"/>
        <w:rPr>
          <w:bCs/>
          <w:iCs/>
          <w:lang w:val="en-US"/>
        </w:rPr>
      </w:pPr>
      <w:r>
        <w:rPr>
          <w:bCs/>
          <w:iCs/>
        </w:rPr>
        <w:t>Др. Густав Кляйн ГмбХ &amp; Ко. КГ</w:t>
      </w:r>
      <w:r>
        <w:rPr>
          <w:bCs/>
          <w:iCs/>
          <w:lang w:val="en-US"/>
        </w:rPr>
        <w:t>/</w:t>
      </w:r>
    </w:p>
    <w:p w:rsidR="00000000" w:rsidRDefault="006C09F2">
      <w:pPr>
        <w:jc w:val="both"/>
        <w:rPr>
          <w:lang w:val="uk-UA"/>
        </w:rPr>
      </w:pPr>
      <w:r>
        <w:rPr>
          <w:lang w:val="en-US"/>
        </w:rPr>
        <w:t>Dr. Gustav Klein GmbH &amp; Co. KG</w:t>
      </w:r>
    </w:p>
    <w:p w:rsidR="00000000" w:rsidRDefault="006C09F2">
      <w:pPr>
        <w:jc w:val="both"/>
        <w:rPr>
          <w:b/>
          <w:sz w:val="16"/>
          <w:szCs w:val="16"/>
          <w:lang w:val="en-US"/>
        </w:rPr>
      </w:pPr>
    </w:p>
    <w:p w:rsidR="00000000" w:rsidRDefault="006C09F2">
      <w:pPr>
        <w:jc w:val="both"/>
        <w:rPr>
          <w:b/>
        </w:rPr>
      </w:pPr>
      <w:r>
        <w:rPr>
          <w:b/>
        </w:rPr>
        <w:t>Местонахождение производителя и адрес мес</w:t>
      </w:r>
      <w:r>
        <w:rPr>
          <w:b/>
        </w:rPr>
        <w:t>та осуществления его деятельности.</w:t>
      </w:r>
    </w:p>
    <w:p w:rsidR="00000000" w:rsidRDefault="006C09F2">
      <w:pPr>
        <w:widowControl w:val="0"/>
        <w:tabs>
          <w:tab w:val="num" w:pos="-142"/>
          <w:tab w:val="left" w:pos="6521"/>
        </w:tabs>
        <w:jc w:val="both"/>
        <w:outlineLvl w:val="0"/>
        <w:rPr>
          <w:bCs/>
          <w:iCs/>
        </w:rPr>
      </w:pPr>
      <w:r>
        <w:rPr>
          <w:bCs/>
          <w:iCs/>
        </w:rPr>
        <w:t>Штайненфельд 3, 77736 Целль ам Хармерсбах, Германия/</w:t>
      </w:r>
    </w:p>
    <w:p w:rsidR="00000000" w:rsidRDefault="006C09F2">
      <w:pPr>
        <w:pStyle w:val="a9"/>
        <w:tabs>
          <w:tab w:val="left" w:pos="3600"/>
        </w:tabs>
        <w:rPr>
          <w:szCs w:val="24"/>
          <w:lang w:val="en-US"/>
        </w:rPr>
      </w:pPr>
      <w:r>
        <w:rPr>
          <w:szCs w:val="24"/>
          <w:lang w:val="en-US"/>
        </w:rPr>
        <w:t>Steinenfeld 3, 77736 Zell am Harmersbach, Germany.</w:t>
      </w:r>
    </w:p>
    <w:p w:rsidR="006C09F2" w:rsidRDefault="006C09F2">
      <w:pPr>
        <w:rPr>
          <w:sz w:val="16"/>
          <w:szCs w:val="16"/>
          <w:lang w:val="en-US"/>
        </w:rPr>
      </w:pPr>
    </w:p>
    <w:sectPr w:rsidR="006C09F2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8E72C1"/>
    <w:rsid w:val="006C09F2"/>
    <w:rsid w:val="008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45C0-A96A-4B85-8A6F-F7220040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rFonts w:eastAsiaTheme="minorEastAsia"/>
      <w:b/>
      <w:sz w:val="28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eastAsiaTheme="minorEastAsia" w:hAnsi="Arial"/>
      <w:b/>
      <w:i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Theme="minorEastAsia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pPr>
      <w:keepNext/>
      <w:overflowPunct w:val="0"/>
      <w:autoSpaceDE w:val="0"/>
      <w:autoSpaceDN w:val="0"/>
      <w:adjustRightInd w:val="0"/>
      <w:spacing w:line="240" w:lineRule="exact"/>
      <w:outlineLvl w:val="3"/>
    </w:pPr>
    <w:rPr>
      <w:rFonts w:ascii="Arial" w:eastAsiaTheme="minorEastAsia" w:hAnsi="Arial"/>
      <w:b/>
      <w:bCs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Arial" w:eastAsiaTheme="minorEastAsia" w:hAnsi="Arial" w:cs="Arial"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ind w:left="6372"/>
      <w:jc w:val="center"/>
      <w:outlineLvl w:val="6"/>
    </w:pPr>
    <w:rPr>
      <w:rFonts w:ascii="Arial" w:hAnsi="Arial" w:cs="Arial"/>
      <w:b/>
      <w:szCs w:val="20"/>
      <w:lang w:val="uk-UA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-2268"/>
        <w:tab w:val="left" w:pos="-1985"/>
      </w:tabs>
      <w:spacing w:line="240" w:lineRule="atLeast"/>
      <w:jc w:val="center"/>
      <w:outlineLvl w:val="7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basedOn w:val="a0"/>
    <w:rPr>
      <w:color w:val="954F72" w:themeColor="followedHyperlink"/>
      <w:u w:val="single"/>
    </w:rPr>
  </w:style>
  <w:style w:type="character" w:customStyle="1" w:styleId="10">
    <w:name w:val="Заголовок 1 Знак"/>
    <w:link w:val="1"/>
    <w:locked/>
    <w:rPr>
      <w:b/>
      <w:bCs w:val="0"/>
      <w:sz w:val="28"/>
      <w:lang w:val="uk-UA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link w:val="4"/>
    <w:locked/>
    <w:rPr>
      <w:rFonts w:ascii="Arial" w:hAnsi="Arial" w:cs="Arial" w:hint="default"/>
      <w:b/>
      <w:bCs/>
      <w:sz w:val="24"/>
    </w:r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u-RU" w:eastAsia="ru-RU"/>
    </w:rPr>
  </w:style>
  <w:style w:type="paragraph" w:customStyle="1" w:styleId="msonormal0">
    <w:name w:val="msonormal"/>
    <w:basedOn w:val="a"/>
    <w:pPr>
      <w:spacing w:before="100" w:after="100"/>
    </w:pPr>
    <w:rPr>
      <w:rFonts w:ascii="Arial" w:hAnsi="Arial"/>
      <w:sz w:val="18"/>
      <w:szCs w:val="20"/>
    </w:rPr>
  </w:style>
  <w:style w:type="paragraph" w:styleId="a5">
    <w:name w:val="Normal (Web)"/>
    <w:basedOn w:val="a"/>
    <w:pPr>
      <w:spacing w:before="100" w:after="100"/>
    </w:pPr>
    <w:rPr>
      <w:rFonts w:ascii="Arial" w:hAnsi="Arial"/>
      <w:sz w:val="18"/>
      <w:szCs w:val="20"/>
    </w:rPr>
  </w:style>
  <w:style w:type="character" w:customStyle="1" w:styleId="70">
    <w:name w:val="Заголовок 7 Знак"/>
    <w:basedOn w:val="a0"/>
    <w:link w:val="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6">
    <w:name w:val="header"/>
    <w:basedOn w:val="a"/>
    <w:link w:val="a7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de-DE"/>
    </w:rPr>
  </w:style>
  <w:style w:type="character" w:customStyle="1" w:styleId="a7">
    <w:name w:val="Верхний колонтитул Знак"/>
    <w:basedOn w:val="a0"/>
    <w:link w:val="a6"/>
    <w:rPr>
      <w:sz w:val="24"/>
      <w:szCs w:val="24"/>
      <w:lang w:val="ru-RU" w:eastAsia="ru-RU"/>
    </w:rPr>
  </w:style>
  <w:style w:type="paragraph" w:styleId="a8">
    <w:name w:val="List"/>
    <w:basedOn w:val="a"/>
    <w:pPr>
      <w:ind w:left="283" w:hanging="283"/>
    </w:pPr>
    <w:rPr>
      <w:rFonts w:ascii="Baltica" w:hAnsi="Baltica"/>
    </w:rPr>
  </w:style>
  <w:style w:type="paragraph" w:styleId="a9">
    <w:name w:val="Body Text"/>
    <w:basedOn w:val="a"/>
    <w:link w:val="aa"/>
    <w:pPr>
      <w:jc w:val="both"/>
    </w:pPr>
    <w:rPr>
      <w:szCs w:val="20"/>
      <w:lang w:val="uk-UA" w:eastAsia="x-none"/>
    </w:rPr>
  </w:style>
  <w:style w:type="character" w:customStyle="1" w:styleId="aa">
    <w:name w:val="Основной текст Знак"/>
    <w:link w:val="a9"/>
    <w:locked/>
    <w:rPr>
      <w:sz w:val="24"/>
      <w:lang w:val="uk-UA"/>
    </w:rPr>
  </w:style>
  <w:style w:type="paragraph" w:styleId="ab">
    <w:name w:val="Body Text Indent"/>
    <w:basedOn w:val="a"/>
    <w:link w:val="ac"/>
    <w:pPr>
      <w:ind w:left="709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pPr>
      <w:spacing w:line="240" w:lineRule="atLeast"/>
    </w:pPr>
    <w:rPr>
      <w:rFonts w:ascii="Arial" w:hAnsi="Arial"/>
      <w:sz w:val="22"/>
      <w:szCs w:val="20"/>
    </w:rPr>
  </w:style>
  <w:style w:type="character" w:customStyle="1" w:styleId="22">
    <w:name w:val="Основной текст 2 Знак"/>
    <w:basedOn w:val="a0"/>
    <w:link w:val="21"/>
    <w:rPr>
      <w:sz w:val="24"/>
      <w:szCs w:val="24"/>
      <w:lang w:val="ru-RU" w:eastAsia="ru-RU"/>
    </w:rPr>
  </w:style>
  <w:style w:type="paragraph" w:styleId="31">
    <w:name w:val="Body Text 3"/>
    <w:basedOn w:val="a"/>
    <w:link w:val="3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32">
    <w:name w:val="Основной текст 3 Знак"/>
    <w:link w:val="31"/>
    <w:locked/>
    <w:rPr>
      <w:rFonts w:ascii="Arial" w:hAnsi="Arial" w:cs="Arial" w:hint="default"/>
      <w:sz w:val="22"/>
    </w:rPr>
  </w:style>
  <w:style w:type="paragraph" w:styleId="23">
    <w:name w:val="Body Text Indent 2"/>
    <w:basedOn w:val="a"/>
    <w:link w:val="24"/>
    <w:pPr>
      <w:ind w:left="567"/>
    </w:pPr>
    <w:rPr>
      <w:rFonts w:ascii="Arial" w:hAnsi="Arial"/>
      <w:szCs w:val="20"/>
    </w:rPr>
  </w:style>
  <w:style w:type="character" w:customStyle="1" w:styleId="24">
    <w:name w:val="Основной текст с отступом 2 Знак"/>
    <w:basedOn w:val="a0"/>
    <w:link w:val="23"/>
    <w:rPr>
      <w:sz w:val="24"/>
      <w:szCs w:val="24"/>
      <w:lang w:val="ru-RU" w:eastAsia="ru-RU"/>
    </w:rPr>
  </w:style>
  <w:style w:type="paragraph" w:styleId="33">
    <w:name w:val="Body Text Indent 3"/>
    <w:basedOn w:val="a"/>
    <w:link w:val="34"/>
    <w:pPr>
      <w:tabs>
        <w:tab w:val="left" w:pos="720"/>
      </w:tabs>
      <w:ind w:left="720"/>
    </w:pPr>
    <w:rPr>
      <w:rFonts w:ascii="Arial" w:hAnsi="Arial"/>
      <w:sz w:val="22"/>
      <w:szCs w:val="20"/>
      <w:lang w:val="uk-UA"/>
    </w:rPr>
  </w:style>
  <w:style w:type="character" w:customStyle="1" w:styleId="34">
    <w:name w:val="Основной текст с отступом 3 Знак"/>
    <w:basedOn w:val="a0"/>
    <w:link w:val="33"/>
    <w:rPr>
      <w:sz w:val="16"/>
      <w:szCs w:val="16"/>
      <w:lang w:val="ru-RU" w:eastAsia="ru-RU"/>
    </w:rPr>
  </w:style>
  <w:style w:type="paragraph" w:styleId="ad">
    <w:name w:val="Balloon Text"/>
    <w:basedOn w:val="a"/>
    <w:link w:val="ae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locked/>
    <w:rPr>
      <w:rFonts w:ascii="Segoe UI" w:hAnsi="Segoe UI" w:cs="Segoe UI" w:hint="default"/>
      <w:sz w:val="18"/>
      <w:szCs w:val="18"/>
    </w:rPr>
  </w:style>
  <w:style w:type="paragraph" w:customStyle="1" w:styleId="Text">
    <w:name w:val="Text"/>
    <w:basedOn w:val="a"/>
    <w:rPr>
      <w:rFonts w:ascii="Times" w:hAnsi="Times"/>
      <w:sz w:val="20"/>
      <w:szCs w:val="20"/>
      <w:lang w:val="en-GB"/>
    </w:rPr>
  </w:style>
  <w:style w:type="paragraph" w:customStyle="1" w:styleId="Normal">
    <w:name w:val="Normal"/>
    <w:pPr>
      <w:snapToGrid w:val="0"/>
      <w:spacing w:before="100" w:after="100"/>
    </w:pPr>
    <w:rPr>
      <w:sz w:val="24"/>
      <w:lang w:val="ru-RU" w:eastAsia="ru-RU"/>
    </w:rPr>
  </w:style>
  <w:style w:type="character" w:customStyle="1" w:styleId="25">
    <w:name w:val="Основний текст (2)_"/>
    <w:link w:val="26"/>
    <w:locked/>
    <w:rPr>
      <w:shd w:val="clear" w:color="auto" w:fill="FFFFFF"/>
    </w:rPr>
  </w:style>
  <w:style w:type="paragraph" w:customStyle="1" w:styleId="26">
    <w:name w:val="Основний текст (2)"/>
    <w:basedOn w:val="a"/>
    <w:link w:val="25"/>
    <w:pPr>
      <w:widowControl w:val="0"/>
      <w:shd w:val="clear" w:color="auto" w:fill="FFFFFF"/>
      <w:spacing w:before="360" w:after="840" w:line="0" w:lineRule="atLeast"/>
    </w:pPr>
    <w:rPr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</w:style>
  <w:style w:type="table" w:styleId="af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3F20-7FA9-40E9-A03F-D4B36578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office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Yuliia Romaniuk</cp:lastModifiedBy>
  <cp:revision>2</cp:revision>
  <cp:lastPrinted>2019-03-20T13:48:00Z</cp:lastPrinted>
  <dcterms:created xsi:type="dcterms:W3CDTF">2021-08-25T06:20:00Z</dcterms:created>
  <dcterms:modified xsi:type="dcterms:W3CDTF">2021-08-25T06:20:00Z</dcterms:modified>
</cp:coreProperties>
</file>