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8CBDC" w14:textId="77777777" w:rsidR="00443D6E" w:rsidRPr="00443D6E" w:rsidRDefault="00443D6E" w:rsidP="00443D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43D6E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ІНСТРУКЦІЯ</w:t>
      </w:r>
    </w:p>
    <w:p w14:paraId="2308CBDD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медичного застосування лікарського засобу </w:t>
      </w:r>
    </w:p>
    <w:p w14:paraId="2308CBDE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2308CBDF" w14:textId="77777777" w:rsidR="00443D6E" w:rsidRPr="00443D6E" w:rsidRDefault="00443D6E" w:rsidP="00443D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/>
        </w:rPr>
      </w:pPr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НЕЙРОПЛАНТ</w:t>
      </w:r>
    </w:p>
    <w:p w14:paraId="2308CBE0" w14:textId="77777777" w:rsidR="00443D6E" w:rsidRPr="00443D6E" w:rsidRDefault="00443D6E" w:rsidP="00443D6E">
      <w:pPr>
        <w:widowControl w:val="0"/>
        <w:spacing w:after="0" w:line="269" w:lineRule="exact"/>
        <w:ind w:left="104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2308CBE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Склад</w:t>
      </w: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:</w:t>
      </w:r>
    </w:p>
    <w:p w14:paraId="2308CBE2" w14:textId="77777777" w:rsidR="00443D6E" w:rsidRPr="00443D6E" w:rsidRDefault="00443D6E" w:rsidP="00443D6E">
      <w:pPr>
        <w:spacing w:after="0" w:line="274" w:lineRule="exact"/>
        <w:ind w:right="-30"/>
        <w:jc w:val="both"/>
        <w:rPr>
          <w:rFonts w:ascii="Times New Roman" w:hAnsi="Times New Roman"/>
          <w:sz w:val="24"/>
          <w:szCs w:val="24"/>
          <w:lang w:val="uk-UA"/>
        </w:rPr>
      </w:pPr>
      <w:r w:rsidRPr="00443D6E">
        <w:rPr>
          <w:rFonts w:ascii="Times New Roman" w:hAnsi="Times New Roman"/>
          <w:i/>
          <w:sz w:val="24"/>
          <w:szCs w:val="24"/>
          <w:lang w:val="uk-UA"/>
        </w:rPr>
        <w:t xml:space="preserve">діюча речовина: </w:t>
      </w:r>
      <w:r w:rsidRPr="00443D6E">
        <w:rPr>
          <w:rFonts w:ascii="Times New Roman" w:hAnsi="Times New Roman"/>
          <w:sz w:val="24"/>
          <w:szCs w:val="24"/>
          <w:lang w:val="uk-UA"/>
        </w:rPr>
        <w:t>сухий екстракт із трави звіробою (</w:t>
      </w:r>
      <w:r w:rsidRPr="00443D6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la-Latn"/>
        </w:rPr>
        <w:t>Hypericum perforatum</w:t>
      </w:r>
      <w:r w:rsidRPr="00443D6E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 </w:t>
      </w:r>
      <w:hyperlink r:id="rId5" w:tooltip="L." w:history="1">
        <w:r w:rsidRPr="00443D6E">
          <w:rPr>
            <w:smallCaps/>
            <w:color w:val="0066CC"/>
            <w:sz w:val="24"/>
            <w:szCs w:val="24"/>
            <w:u w:val="single"/>
            <w:shd w:val="clear" w:color="auto" w:fill="FFFFFF"/>
            <w:lang w:val="uk-UA"/>
          </w:rPr>
          <w:t>L.</w:t>
        </w:r>
      </w:hyperlink>
      <w:r w:rsidRPr="00443D6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2308CBE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 таблетка, вкрита оболонкою, містить 300 мг сухого екстракту із трави звіробою (</w:t>
      </w:r>
      <w:r w:rsidRPr="00443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la-Latn" w:eastAsia="uk-UA" w:bidi="uk-UA"/>
        </w:rPr>
        <w:t>Hypericum perforatum</w:t>
      </w: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val="uk-UA" w:eastAsia="uk-UA" w:bidi="uk-UA"/>
        </w:rPr>
        <w:t> </w:t>
      </w:r>
      <w:hyperlink r:id="rId6" w:tooltip="L." w:history="1">
        <w:r w:rsidRPr="00443D6E">
          <w:rPr>
            <w:rFonts w:ascii="Arial Unicode MS" w:eastAsia="Times New Roman" w:hAnsi="Arial Unicode MS" w:cs="Times New Roman"/>
            <w:smallCaps/>
            <w:sz w:val="24"/>
            <w:szCs w:val="24"/>
            <w:u w:val="single"/>
            <w:shd w:val="clear" w:color="auto" w:fill="FFFFFF"/>
            <w:lang w:val="uk-UA" w:eastAsia="uk-UA" w:bidi="uk-UA"/>
          </w:rPr>
          <w:t>L.</w:t>
        </w:r>
      </w:hyperlink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 (3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7:1) </w:t>
      </w:r>
      <w:r w:rsidRPr="00573B6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[екстрагент: метанол 80 % (об./об.)];</w:t>
      </w:r>
    </w:p>
    <w:p w14:paraId="2308CBE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допоміжні речовини: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кислота аскорбінова, целюлоза мікрокристалічна, натрію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кроскармелоза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гіпромелоза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лактози моногідрат,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макрогол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4000, магнію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стеарат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сахарин натрію, кремнію діоксид, тальк, ванілін, титану діоксид (Е 171), заліза оксид жовтий (Е 172), крохмаль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прежелатинізований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емульсія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протипінна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(містить метилцелюлозу,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симетикон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кислоту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сорбінову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).</w:t>
      </w:r>
    </w:p>
    <w:p w14:paraId="2308CBE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BE6" w14:textId="77777777" w:rsidR="00443D6E" w:rsidRPr="00443D6E" w:rsidRDefault="00443D6E" w:rsidP="00443D6E">
      <w:pPr>
        <w:spacing w:after="0" w:line="240" w:lineRule="auto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443D6E">
        <w:rPr>
          <w:rFonts w:ascii="Times New Roman" w:hAnsi="Times New Roman"/>
          <w:b/>
          <w:sz w:val="24"/>
          <w:szCs w:val="24"/>
          <w:lang w:val="uk-UA"/>
        </w:rPr>
        <w:t>Лікарська форма.</w:t>
      </w:r>
      <w:r w:rsidRPr="00443D6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Таблетки, вкриті оболонкою.</w:t>
      </w:r>
    </w:p>
    <w:p w14:paraId="2308CBE7" w14:textId="77777777" w:rsidR="00443D6E" w:rsidRPr="00443D6E" w:rsidRDefault="00443D6E" w:rsidP="00443D6E">
      <w:pPr>
        <w:spacing w:after="0" w:line="240" w:lineRule="auto"/>
        <w:jc w:val="both"/>
        <w:rPr>
          <w:bCs/>
          <w:sz w:val="24"/>
          <w:szCs w:val="24"/>
          <w:shd w:val="clear" w:color="auto" w:fill="FFFFFF"/>
          <w:lang w:val="uk-UA"/>
        </w:rPr>
      </w:pPr>
      <w:r w:rsidRPr="00443D6E">
        <w:rPr>
          <w:rFonts w:ascii="Times New Roman" w:hAnsi="Times New Roman"/>
          <w:i/>
          <w:sz w:val="24"/>
          <w:szCs w:val="24"/>
          <w:lang w:val="uk-UA"/>
        </w:rPr>
        <w:t xml:space="preserve">Основні фізико-хімічні властивості: </w:t>
      </w:r>
      <w:r w:rsidRPr="00443D6E">
        <w:rPr>
          <w:rFonts w:ascii="Times New Roman" w:hAnsi="Times New Roman"/>
          <w:iCs/>
          <w:sz w:val="24"/>
          <w:szCs w:val="24"/>
          <w:lang w:val="uk-UA"/>
        </w:rPr>
        <w:t>к</w:t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руглі </w:t>
      </w:r>
      <w:proofErr w:type="spellStart"/>
      <w:r w:rsidRPr="00443D6E">
        <w:rPr>
          <w:rFonts w:ascii="Times New Roman" w:hAnsi="Times New Roman"/>
          <w:sz w:val="24"/>
          <w:szCs w:val="24"/>
          <w:lang w:val="uk-UA"/>
        </w:rPr>
        <w:t>коричнювато</w:t>
      </w:r>
      <w:proofErr w:type="spellEnd"/>
      <w:r w:rsidRPr="00443D6E">
        <w:rPr>
          <w:rFonts w:ascii="Times New Roman" w:hAnsi="Times New Roman"/>
          <w:sz w:val="24"/>
          <w:szCs w:val="24"/>
          <w:lang w:val="uk-UA"/>
        </w:rPr>
        <w:t xml:space="preserve">-жовті (колір </w:t>
      </w:r>
      <w:proofErr w:type="spellStart"/>
      <w:r w:rsidRPr="00443D6E">
        <w:rPr>
          <w:rFonts w:ascii="Times New Roman" w:hAnsi="Times New Roman"/>
          <w:sz w:val="24"/>
          <w:szCs w:val="24"/>
          <w:lang w:val="uk-UA"/>
        </w:rPr>
        <w:t>охри</w:t>
      </w:r>
      <w:proofErr w:type="spellEnd"/>
      <w:r w:rsidRPr="00443D6E">
        <w:rPr>
          <w:rFonts w:ascii="Times New Roman" w:hAnsi="Times New Roman"/>
          <w:sz w:val="24"/>
          <w:szCs w:val="24"/>
          <w:lang w:val="uk-UA"/>
        </w:rPr>
        <w:t>) таблетки, вкриті оболонкою</w:t>
      </w:r>
      <w:r w:rsidRPr="00443D6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2308CBE8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</w:p>
    <w:p w14:paraId="2308CBE9" w14:textId="77777777" w:rsidR="00443D6E" w:rsidRPr="00443D6E" w:rsidRDefault="00443D6E" w:rsidP="00443D6E">
      <w:pPr>
        <w:spacing w:after="0" w:line="240" w:lineRule="auto"/>
        <w:jc w:val="both"/>
        <w:rPr>
          <w:sz w:val="23"/>
          <w:szCs w:val="23"/>
          <w:lang w:val="uk-UA"/>
        </w:rPr>
      </w:pPr>
      <w:proofErr w:type="spellStart"/>
      <w:r w:rsidRPr="00443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Фармакотерапевтична</w:t>
      </w:r>
      <w:proofErr w:type="spellEnd"/>
      <w:r w:rsidRPr="00443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група.</w:t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308CBEA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3D6E">
        <w:rPr>
          <w:rFonts w:ascii="Times New Roman" w:hAnsi="Times New Roman"/>
          <w:sz w:val="24"/>
          <w:szCs w:val="24"/>
          <w:lang w:val="uk-UA"/>
        </w:rPr>
        <w:t xml:space="preserve">Антидепресанти. Код АТХ </w:t>
      </w:r>
      <w:r w:rsidRPr="00443D6E">
        <w:rPr>
          <w:rFonts w:ascii="Times New Roman" w:hAnsi="Times New Roman"/>
          <w:sz w:val="24"/>
          <w:szCs w:val="24"/>
          <w:lang w:val="en-US"/>
        </w:rPr>
        <w:t>N</w:t>
      </w:r>
      <w:r w:rsidRPr="00443D6E">
        <w:rPr>
          <w:rFonts w:ascii="Times New Roman" w:hAnsi="Times New Roman"/>
          <w:sz w:val="24"/>
          <w:szCs w:val="24"/>
          <w:lang w:val="uk-UA"/>
        </w:rPr>
        <w:t>06</w:t>
      </w:r>
      <w:r w:rsidRPr="00443D6E">
        <w:rPr>
          <w:rFonts w:ascii="Times New Roman" w:hAnsi="Times New Roman"/>
          <w:sz w:val="24"/>
          <w:szCs w:val="24"/>
          <w:lang w:val="en-US"/>
        </w:rPr>
        <w:t>A</w:t>
      </w:r>
      <w:r w:rsidRPr="00277A4C">
        <w:rPr>
          <w:rFonts w:ascii="Times New Roman" w:hAnsi="Times New Roman"/>
          <w:sz w:val="24"/>
          <w:szCs w:val="24"/>
        </w:rPr>
        <w:t xml:space="preserve"> </w:t>
      </w:r>
      <w:r w:rsidRPr="00443D6E">
        <w:rPr>
          <w:rFonts w:ascii="Times New Roman" w:hAnsi="Times New Roman"/>
          <w:sz w:val="24"/>
          <w:szCs w:val="24"/>
          <w:lang w:val="en-US"/>
        </w:rPr>
        <w:t>X</w:t>
      </w:r>
      <w:r w:rsidRPr="00443D6E">
        <w:rPr>
          <w:rFonts w:ascii="Times New Roman" w:hAnsi="Times New Roman"/>
          <w:sz w:val="24"/>
          <w:szCs w:val="24"/>
          <w:lang w:val="uk-UA"/>
        </w:rPr>
        <w:t>25.</w:t>
      </w:r>
    </w:p>
    <w:p w14:paraId="2308CBE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BEC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Фармакологічні властивості.</w:t>
      </w:r>
    </w:p>
    <w:p w14:paraId="2308CBE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Фармакодинаміка</w:t>
      </w:r>
      <w:proofErr w:type="spellEnd"/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.</w:t>
      </w:r>
    </w:p>
    <w:p w14:paraId="2308CBEE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Сухий екстракт із трави звіробою гальмує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синаптосомальне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поглинання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нейропереносників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серотоніну,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норадреналіну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допаміну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Субхронічне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лікування спричиняє послаблення регуляції бета-адренергічних рецепторів; це змінює поведінку тварин у деяких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антидепресантних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моделях (наприклад, тесті примусового плавання) аналогічно синтетичним антидепресантам.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Наптодіантрони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гіперицин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псевдогіперицин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похідні  флороглюцину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гіперфорин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 і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флавоноїди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відповідальні за цю дію.</w:t>
      </w:r>
    </w:p>
    <w:p w14:paraId="2308CBEF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Фармакокінетика.</w:t>
      </w:r>
    </w:p>
    <w:p w14:paraId="2308CBF0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Фармакокінетика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псевдогіперицину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, характерних маркерів препаратів звіробою, була вивчена у дослідженні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гіперипланту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300 мг при рівноважній концентрації: при 10-денному застосуванні по 1200 мг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метанольного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екстракту звіробою на день були отримані максимальні рівні у плазмі крові 2,3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7,6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і 1,1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7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псевдогіперицину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. </w:t>
      </w:r>
    </w:p>
    <w:p w14:paraId="2308CBF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Фармакокінетичні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дані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гіперфорину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були отримані після призначення вказаного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етанольного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екстракту (3</w:t>
      </w:r>
      <w:r w:rsidRPr="00443D6E"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  <w:sym w:font="Symbol" w:char="F02D"/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6 %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гіперфорину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): після перорального прийому разових доз, що становлять 600 мг і 1200 мг екстракту, були визначені максимальні рівні у плазмі крові 301,8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після 3,5 години і 437,3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після 2,8 години відповідно. Період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напіввиведення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становив 8,5 години і 9,6 години відповідно. При безперервному лікуванні протягом 8 днів із застосуванням 900 мг екстракту 1 раз на день мінімальний рівень у плазмі крові, що становить 35,5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/мл, і максимальний рівень у плазмі крові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–</w:t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246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нг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/мл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–</w:t>
      </w:r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 були виявлені на 8-й день лікування. Період </w:t>
      </w:r>
      <w:proofErr w:type="spellStart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>напіввиведення</w:t>
      </w:r>
      <w:proofErr w:type="spellEnd"/>
      <w:r w:rsidRPr="00443D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  <w:t xml:space="preserve"> становив 11,2 години.</w:t>
      </w:r>
    </w:p>
    <w:p w14:paraId="2308CBF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 w:bidi="uk-UA"/>
        </w:rPr>
      </w:pPr>
    </w:p>
    <w:p w14:paraId="2308CBF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Клінічні характеристики.</w:t>
      </w:r>
    </w:p>
    <w:p w14:paraId="2308CBF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Показання.</w:t>
      </w: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</w:p>
    <w:p w14:paraId="2308CBF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Лікування депресивних епізодів легкого ступеня. </w:t>
      </w:r>
    </w:p>
    <w:p w14:paraId="2308CBF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BF7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Протипоказання. </w:t>
      </w:r>
    </w:p>
    <w:p w14:paraId="2308CBF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Гіперчутливість до компонентів лікарського засобу. Відома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гіперчутливість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шкіри до світла,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фотосенсибілізація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Одночасне лікування із застосуванням препаратів, що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метаболізуються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цитохромом Р450 3А4,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CYP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9,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CYP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2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 w:bidi="uk-UA"/>
        </w:rPr>
        <w:t>C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19 і Р-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глікопротеїнами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: </w:t>
      </w:r>
    </w:p>
    <w:p w14:paraId="2308CBF9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інгібіторів протеази для лікування ВІЛ-інфекції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циклоспорину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такролімусу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індинавіру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або інших);</w:t>
      </w:r>
    </w:p>
    <w:p w14:paraId="2308CBFA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інгібіторів протеази вірусу гепатиту С;</w:t>
      </w:r>
    </w:p>
    <w:p w14:paraId="2308CBFB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імунодепресантів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;</w:t>
      </w:r>
    </w:p>
    <w:p w14:paraId="2308CBFC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засобів, що пригнічують ріст клітин і застосовуються для лікування раку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іринотекан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іматиніб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інші);</w:t>
      </w:r>
    </w:p>
    <w:p w14:paraId="2308CBFD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амітриптиліну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</w:p>
    <w:p w14:paraId="2308CBFE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мідазоламу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; </w:t>
      </w:r>
    </w:p>
    <w:p w14:paraId="2308CBFF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теофіліну;</w:t>
      </w:r>
    </w:p>
    <w:p w14:paraId="2308CC00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гіпохолестеринемічних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засобів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статинів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);</w:t>
      </w:r>
    </w:p>
    <w:p w14:paraId="2308CC01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серцевих глікозидів;</w:t>
      </w:r>
    </w:p>
    <w:p w14:paraId="2308CC02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антикоагулянтів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кумаринового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ряду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варфарин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);</w:t>
      </w:r>
    </w:p>
    <w:p w14:paraId="2308CC03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інших антидепресантів;</w:t>
      </w:r>
    </w:p>
    <w:p w14:paraId="2308CC04" w14:textId="77777777" w:rsidR="00443D6E" w:rsidRPr="00443D6E" w:rsidRDefault="00443D6E" w:rsidP="00443D6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пероральних контрацептивів, ін’єкційних контрацептивів та контрацептивів імплантатів.</w:t>
      </w:r>
    </w:p>
    <w:p w14:paraId="2308CC0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Тяжкі депресивні стани. Артеріальна гіпертензія.</w:t>
      </w:r>
    </w:p>
    <w:p w14:paraId="2308CC0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07" w14:textId="77777777" w:rsidR="00443D6E" w:rsidRPr="00946936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uk-UA" w:eastAsia="uk-UA" w:bidi="uk-UA"/>
        </w:rPr>
      </w:pPr>
      <w:bookmarkStart w:id="0" w:name="_Hlk161654937"/>
      <w:r w:rsidRPr="009469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uk-UA" w:eastAsia="uk-UA" w:bidi="uk-UA"/>
        </w:rPr>
        <w:t>Взаємодія з іншими лікарськими засобами та інші види взаємодій.</w:t>
      </w:r>
    </w:p>
    <w:p w14:paraId="2308CC0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При одночасному прийомі </w:t>
      </w:r>
      <w:proofErr w:type="spellStart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Нейропланту</w:t>
      </w:r>
      <w:proofErr w:type="spellEnd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 може зменшитися ефективність таких лікарських засобів:</w:t>
      </w:r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 антикоагулянти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кумаринового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 ряду (наприклад,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фенпрокумон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,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варфарин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);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амітриптилін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,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нортриптилін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; </w:t>
      </w:r>
      <w:proofErr w:type="spellStart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мідазолам</w:t>
      </w:r>
      <w:proofErr w:type="spellEnd"/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; теофілін; антибіотики; сульфаніламіди; блокатори кальцієвих каналів; жіночі статеві гормони, </w:t>
      </w:r>
      <w:proofErr w:type="spellStart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гіпохолестеринемічні</w:t>
      </w:r>
      <w:proofErr w:type="spellEnd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 засоби (</w:t>
      </w:r>
      <w:proofErr w:type="spellStart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статини</w:t>
      </w:r>
      <w:proofErr w:type="spellEnd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)</w:t>
      </w:r>
      <w:r w:rsidRPr="009469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, серцеві глікозиди, 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тому їх одночасне застосування протипоказане.</w:t>
      </w:r>
    </w:p>
    <w:p w14:paraId="2308CC09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При одночасному прийомі пероральних контрацептивів може спостерігатися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міжменструальна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кровотеча; надійність контрацептивних засобів може бути знижена. </w:t>
      </w:r>
    </w:p>
    <w:p w14:paraId="2308CC0A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 разі супутньої терапії із застосуванням препаратів, що впливають на підвищену чутливість шкіри до світла, можливе збільшення чутливості до сонячного опромінення. </w:t>
      </w:r>
    </w:p>
    <w:p w14:paraId="2308CC0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Лікарські засоби, що містять екстракт звіробою продірявленого, можуть знижувати концентрацію у плазмі крові препаратів, що </w:t>
      </w:r>
      <w:proofErr w:type="spellStart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метаболізуються</w:t>
      </w:r>
      <w:proofErr w:type="spellEnd"/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 цитохромом Р450 3А4, 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uk-UA" w:bidi="uk-UA"/>
        </w:rPr>
        <w:t>CYP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2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uk-UA" w:bidi="uk-UA"/>
        </w:rPr>
        <w:t>C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 xml:space="preserve">9, 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uk-UA" w:bidi="uk-UA"/>
        </w:rPr>
        <w:t>CYP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2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uk-UA" w:bidi="uk-UA"/>
        </w:rPr>
        <w:t>C</w:t>
      </w:r>
      <w:r w:rsidRPr="0094693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uk-UA" w:eastAsia="uk-UA" w:bidi="uk-UA"/>
        </w:rPr>
        <w:t>19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 Р-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глікопротеїнами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амітриптиліну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нортриптиліну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фексофенадину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бензодіазепінів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їх похідних,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метадону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симвастатину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фінастериду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антидепресантів та інших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серотонінергічних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речовин </w:t>
      </w:r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(такі як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буспірон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циталопрам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есциталопрам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флуоксетин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сертралін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триптани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нефазолон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>трамадол</w:t>
      </w:r>
      <w:proofErr w:type="spellEnd"/>
      <w:r w:rsidRPr="00443D6E">
        <w:rPr>
          <w:rFonts w:ascii="Times New Roman" w:eastAsia="Times New Roman" w:hAnsi="Times New Roman" w:cs="Times New Roman"/>
          <w:iCs/>
          <w:sz w:val="24"/>
          <w:szCs w:val="24"/>
          <w:lang w:val="uk-UA" w:eastAsia="uk-UA" w:bidi="uk-UA"/>
        </w:rPr>
        <w:t xml:space="preserve"> та інші).</w:t>
      </w:r>
    </w:p>
    <w:p w14:paraId="2308CC0C" w14:textId="77777777" w:rsidR="00443D6E" w:rsidRPr="00443D6E" w:rsidRDefault="00443D6E" w:rsidP="00443D6E">
      <w:pPr>
        <w:widowControl w:val="0"/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lang w:val="uk-UA"/>
        </w:rPr>
      </w:pPr>
    </w:p>
    <w:bookmarkEnd w:id="0"/>
    <w:p w14:paraId="2308CC0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val="uk-UA" w:eastAsia="uk-UA"/>
        </w:rPr>
      </w:pPr>
      <w:r w:rsidRPr="00443D6E">
        <w:rPr>
          <w:rFonts w:ascii="Times New Roman" w:eastAsia="Times New Roman" w:hAnsi="Times New Roman" w:cs="Times New Roman"/>
          <w:b/>
          <w:bCs/>
          <w:i/>
          <w:color w:val="000000"/>
          <w:sz w:val="23"/>
          <w:szCs w:val="23"/>
          <w:shd w:val="clear" w:color="auto" w:fill="FFFFFF"/>
          <w:lang w:val="uk-UA" w:eastAsia="uk-UA"/>
        </w:rPr>
        <w:t>Особливості застосування.</w:t>
      </w:r>
    </w:p>
    <w:p w14:paraId="2308CC0E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Ефект антикоагулянтів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кумаринового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типу (наприклад,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фенпрокумону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варфарину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дигоксину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теофіліну і деяких депресантів може зменшуватися при одночасному застосуванні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Нейропланту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 Лікування пацієнтів препаратами, що містять одну з таких речовин, слід проводити під контролем (наприклад, визначати концентрацію цих речовин у плазмі або в усій крові на початку лікування і після його завершення).</w:t>
      </w:r>
    </w:p>
    <w:p w14:paraId="2308CC0F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277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Під час прийому </w:t>
      </w:r>
      <w:proofErr w:type="spellStart"/>
      <w:r w:rsidRPr="00277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Нейропланту</w:t>
      </w:r>
      <w:proofErr w:type="spellEnd"/>
      <w:r w:rsidRPr="00277A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 слід уникати інтенсивного впливу сонячних променів протягом тривалого часу, якщо шкіра незахищена, та процедур із застосуванням ультрафіолетового випромінювання (кварц, УФ-лампи, солярій).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10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 супутньому застосуванні певних антидепресантів (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нефазодон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пароксетин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сертралін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) в окремих випадках  виразніше можуть спостерігатися несприятливі реакції (нудота, блювання, відчуття страху, занепокоєння та сплутаність свідомості).</w:t>
      </w:r>
    </w:p>
    <w:p w14:paraId="2308CC1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Пацієнтам з рідкісною спадковою непереносимістю галактози, дефіцитом лактази або порушенням всмоктування глюкози-галактози не слід приймати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</w:p>
    <w:p w14:paraId="2308CC1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Інформація для хворих на діабет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: 1 таблетка, вкрита оболонкою, містить </w:t>
      </w:r>
      <w:smartTag w:uri="urn:schemas-microsoft-com:office:smarttags" w:element="metricconverter">
        <w:smartTagPr>
          <w:attr w:name="ProductID" w:val="0,048 г"/>
        </w:smartTagPr>
        <w:r w:rsidRPr="00443D6E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uk-UA" w:bidi="uk-UA"/>
          </w:rPr>
          <w:t>0,048 г</w:t>
        </w:r>
      </w:smartTag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вуглеводів.</w:t>
      </w:r>
    </w:p>
    <w:p w14:paraId="2308CC1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Перед хірургічним втручанням рекомендується визначити можливість взаємодії з препаратами, які застосовуються для загальної та місцевої анестезії. У разі необхідності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>прийом лікарського засобу треба припинити.</w:t>
      </w:r>
    </w:p>
    <w:p w14:paraId="2308CC1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Препарати, що містять екстракт трави звіробою, слід приймати з обережністю разом з інгібіторами серотоніну або з іншими </w:t>
      </w:r>
      <w:proofErr w:type="spellStart"/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серотонінергічними</w:t>
      </w:r>
      <w:proofErr w:type="spellEnd"/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лікарськими засобами, оскільки у дуже рідких випадках можуть проявлятися небажані ефекти (синдром серотоніну) у вигляді вегетативних дисфункцій (наприклад, підвищене потовиділення, тахікардія, діарея, лихоманка), психічних (наприклад, хвилювання, дезорієнтація) і моторних змін (наприклад, тремтіння чи </w:t>
      </w:r>
      <w:proofErr w:type="spellStart"/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міоклонія</w:t>
      </w:r>
      <w:proofErr w:type="spellEnd"/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).</w:t>
      </w:r>
    </w:p>
    <w:p w14:paraId="2308CC1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</w:pPr>
      <w:r w:rsidRPr="00443D6E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Оскільки немає достатніх даних, застосування лікарського засобу дітям та підліткам до 18 років не рекомендується.</w:t>
      </w:r>
    </w:p>
    <w:p w14:paraId="2308CC1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17" w14:textId="77777777" w:rsidR="00443D6E" w:rsidRPr="00443D6E" w:rsidRDefault="00443D6E" w:rsidP="00443D6E">
      <w:pPr>
        <w:widowControl w:val="0"/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Застосування у період вагітності та годування груддю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</w:p>
    <w:p w14:paraId="2308CC1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Оскільки немає достатніх досліджень,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не можна застосовувати у період вагітності або годування груддю.</w:t>
      </w:r>
    </w:p>
    <w:p w14:paraId="2308CC19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1A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Здатність впливати на швидкість реакції при керуванні автотранспортом або іншими механізмами. </w:t>
      </w:r>
    </w:p>
    <w:p w14:paraId="2308CC1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Невідома. </w:t>
      </w:r>
    </w:p>
    <w:p w14:paraId="2308CC1C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1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Спосіб застосування та дози. </w:t>
      </w:r>
    </w:p>
    <w:p w14:paraId="2308CC1E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Дорослим і пацієнтам літнього віку: </w:t>
      </w:r>
    </w:p>
    <w:p w14:paraId="2308CC1F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Разова доза – 300 мг. </w:t>
      </w:r>
    </w:p>
    <w:p w14:paraId="2308CC20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Частота прийому – 3 рази на день.</w:t>
      </w:r>
    </w:p>
    <w:p w14:paraId="2308CC2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Добова доза – 900 мг.</w:t>
      </w:r>
    </w:p>
    <w:p w14:paraId="2308CC2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>Тривалість лікування</w:t>
      </w:r>
    </w:p>
    <w:p w14:paraId="2308CC2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Для досягнення явного поліпшення симптомів необхідне лікування протягом 4 тижнів.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Якщо симптоми не зникають понад чотири тижні або якщо стан погіршується, незважаючи на правильний прийом, слід порадитися з лікарем. </w:t>
      </w:r>
    </w:p>
    <w:p w14:paraId="2308CC2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Таблетки, вкриті оболонкою, слід приймати не розжовуючи, запиваючи достатньою  кількістю рідини. Прийом таблеток не залежить від прийому їжі. </w:t>
      </w:r>
    </w:p>
    <w:p w14:paraId="2308CC2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</w:p>
    <w:p w14:paraId="2308CC2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Діти. </w:t>
      </w:r>
    </w:p>
    <w:p w14:paraId="2308CC27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Лікарський засіб не застосовувати дітям.</w:t>
      </w:r>
    </w:p>
    <w:p w14:paraId="2308CC2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29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Передозування.</w:t>
      </w: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 </w:t>
      </w:r>
    </w:p>
    <w:p w14:paraId="2308CC2A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Після прийому надмірних доз лікарського засобу можуть виникнути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фототоксичні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явища. У цьому випадку шкіру потрібно захищати від сонячного світла та УФ-променів протягом тижня (скоротити час перебування на відкритому повітрі, носити відповідний одяг і застосовувати сонцезахисні засоби з високим коефіцієнтом захисту). Лікування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фототоксичних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реакцій шкіри симптоматичне. </w:t>
      </w:r>
    </w:p>
    <w:p w14:paraId="2308CC2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Надходили повідомлення про виникнення судом та сплутаність свідомості після прийому 4,5 г сухого екстракту із трави звіробою на день протягом двох тижнів, а також додатково 15 г сухого екстракту. У разі передозування лікарського засобу також можливе відчуття гіркоти у роті, неприємне відчуття в ділянці печінки.</w:t>
      </w:r>
    </w:p>
    <w:p w14:paraId="2308CC2C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2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</w:pPr>
      <w:r w:rsidRPr="0027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val="uk-UA" w:eastAsia="uk-UA" w:bidi="uk-UA"/>
        </w:rPr>
        <w:t>Побічні реакції</w:t>
      </w: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 xml:space="preserve">. </w:t>
      </w:r>
    </w:p>
    <w:p w14:paraId="2308CC2E" w14:textId="77777777" w:rsidR="00443D6E" w:rsidRPr="00443D6E" w:rsidRDefault="00443D6E" w:rsidP="00443D6E">
      <w:pPr>
        <w:widowControl w:val="0"/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З боку шкіри, підшкірних тканин/імунної системи: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алергічні реакції (почервоніння, набряк, свербіж, висипання).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Гіперчутливість до світла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uk-UA" w:eastAsia="uk-UA" w:bidi="uk-UA"/>
        </w:rPr>
        <w:t xml:space="preserve">: </w:t>
      </w:r>
      <w:r w:rsidRPr="003E260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uk-UA" w:eastAsia="uk-UA" w:bidi="uk-UA"/>
        </w:rPr>
        <w:t>у поодиноких випадках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uk-UA" w:eastAsia="uk-UA" w:bidi="uk-UA"/>
        </w:rPr>
        <w:t xml:space="preserve"> </w:t>
      </w:r>
      <w:proofErr w:type="spellStart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Нейроплант</w:t>
      </w:r>
      <w:proofErr w:type="spellEnd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може спричинити,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>особливо у людей з ніжною світлою шкірою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, реакції,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 xml:space="preserve">подібні до засмаги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на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>ділянках шкіри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, які 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>зазнали інтенсивної дії сонячних променів або інших видів УФ-випромінювання (</w:t>
      </w:r>
      <w:proofErr w:type="spellStart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>фотосенсибілізація</w:t>
      </w:r>
      <w:proofErr w:type="spellEnd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uk-UA" w:eastAsia="uk-UA" w:bidi="uk-UA"/>
        </w:rPr>
        <w:t>)</w:t>
      </w:r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 та </w:t>
      </w:r>
      <w:proofErr w:type="spellStart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>дизестезії</w:t>
      </w:r>
      <w:proofErr w:type="spellEnd"/>
      <w:r w:rsidRPr="003E260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t xml:space="preserve"> (наприклад, пощипування чутливість до холоду або болю, відчуття печіння).</w:t>
      </w:r>
    </w:p>
    <w:p w14:paraId="2308CC2F" w14:textId="77777777" w:rsidR="00443D6E" w:rsidRPr="00443D6E" w:rsidRDefault="00443D6E" w:rsidP="00443D6E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З боку нервової системи: 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апатія або занепокоєння.</w:t>
      </w:r>
      <w:bookmarkStart w:id="1" w:name="_GoBack"/>
      <w:bookmarkEnd w:id="1"/>
    </w:p>
    <w:p w14:paraId="2308CC30" w14:textId="77777777" w:rsidR="00443D6E" w:rsidRPr="00443D6E" w:rsidRDefault="00443D6E" w:rsidP="00443D6E">
      <w:pPr>
        <w:widowControl w:val="0"/>
        <w:shd w:val="clear" w:color="auto" w:fill="FFFFFF"/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53516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uk-UA" w:eastAsia="uk-UA" w:bidi="uk-UA"/>
        </w:rPr>
        <w:lastRenderedPageBreak/>
        <w:t>Рідко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можуть з’являтися розлади з боку шлунково-кишкового тракту.</w:t>
      </w:r>
    </w:p>
    <w:p w14:paraId="2308CC31" w14:textId="77777777" w:rsidR="00443D6E" w:rsidRPr="00443D6E" w:rsidRDefault="00443D6E" w:rsidP="00443D6E">
      <w:pPr>
        <w:widowControl w:val="0"/>
        <w:shd w:val="clear" w:color="auto" w:fill="FFFFFF"/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При виникненні будь-яких побічних реакцій потрібно припинити лікування та проконсультуватися з лікарем.</w:t>
      </w:r>
    </w:p>
    <w:p w14:paraId="2308CC3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33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uk-UA" w:bidi="uk-UA"/>
        </w:rPr>
        <w:t>Термін придатності.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2 роки. </w:t>
      </w:r>
    </w:p>
    <w:p w14:paraId="2308CC3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  <w:t xml:space="preserve">Не застосовувати препарат після закінчення терміну придатності, зазначеного на упаковці. </w:t>
      </w:r>
    </w:p>
    <w:p w14:paraId="2308CC3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uk-UA" w:bidi="uk-UA"/>
        </w:rPr>
      </w:pPr>
    </w:p>
    <w:p w14:paraId="2308CC37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Умови зберігання.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8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Зберігати при температурі  не  вище  25 °С у  недоступному для  дітей  місці. </w:t>
      </w:r>
    </w:p>
    <w:p w14:paraId="2308CC39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08CC3A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43D6E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Упаковка.</w:t>
      </w:r>
      <w:r w:rsidRPr="00443D6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308CC3B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Блістери по 20 таблеток, вкритих оболонкою; 1 або 2 блістери в картонній коробці.</w:t>
      </w:r>
    </w:p>
    <w:p w14:paraId="2308CC3C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3D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>Категорія відпуску.</w:t>
      </w: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2308CC3E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Без рецепта.</w:t>
      </w:r>
    </w:p>
    <w:p w14:paraId="2308CC3F" w14:textId="77777777" w:rsidR="00443D6E" w:rsidRPr="00443D6E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40" w14:textId="77777777" w:rsidR="00443D6E" w:rsidRPr="00443D6E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  <w:t xml:space="preserve">Виробник. </w:t>
      </w:r>
    </w:p>
    <w:p w14:paraId="2308CC41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Др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.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Вільмар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Швабе 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ГмбХ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 Ко. КГ.</w:t>
      </w:r>
    </w:p>
    <w:p w14:paraId="2308CC42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43" w14:textId="77777777" w:rsidR="00443D6E" w:rsidRPr="00443D6E" w:rsidRDefault="00443D6E" w:rsidP="0044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Місцезнаходження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виробника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</w:t>
      </w: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його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адреса </w:t>
      </w: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місця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провадження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діяльності</w:t>
      </w:r>
      <w:proofErr w:type="spellEnd"/>
      <w:r w:rsidRPr="00443D6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2308CC44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Вільмар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-Швабе-</w:t>
      </w:r>
      <w:proofErr w:type="spellStart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Штрассе</w:t>
      </w:r>
      <w:proofErr w:type="spellEnd"/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, 4, </w:t>
      </w:r>
    </w:p>
    <w:p w14:paraId="2308CC45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443D6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76227 Карлсруе, Німеччина.</w:t>
      </w:r>
    </w:p>
    <w:p w14:paraId="2308CC46" w14:textId="77777777" w:rsidR="00443D6E" w:rsidRPr="00443D6E" w:rsidRDefault="00443D6E" w:rsidP="00443D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 w:bidi="uk-UA"/>
        </w:rPr>
      </w:pPr>
    </w:p>
    <w:p w14:paraId="2308CC47" w14:textId="77777777" w:rsidR="00443D6E" w:rsidRPr="00443D6E" w:rsidRDefault="00443D6E" w:rsidP="00443D6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</w:p>
    <w:p w14:paraId="2308CC48" w14:textId="77777777" w:rsidR="00D83FD9" w:rsidRDefault="00D83FD9"/>
    <w:sectPr w:rsidR="00D8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601B0"/>
    <w:multiLevelType w:val="hybridMultilevel"/>
    <w:tmpl w:val="D4DA2DF6"/>
    <w:lvl w:ilvl="0" w:tplc="56E629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F9"/>
    <w:rsid w:val="00277A4C"/>
    <w:rsid w:val="002D29F9"/>
    <w:rsid w:val="003E2606"/>
    <w:rsid w:val="00443D6E"/>
    <w:rsid w:val="00535161"/>
    <w:rsid w:val="00573B69"/>
    <w:rsid w:val="00946936"/>
    <w:rsid w:val="00D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08CBDC"/>
  <w15:chartTrackingRefBased/>
  <w15:docId w15:val="{C7CD9941-BD52-4C3D-AABE-37CABEE8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qFormat/>
    <w:rsid w:val="00443D6E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3D6E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styleId="a3">
    <w:name w:val="Hyperlink"/>
    <w:uiPriority w:val="99"/>
    <w:semiHidden/>
    <w:unhideWhenUsed/>
    <w:rsid w:val="00443D6E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44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ий текст (3)_"/>
    <w:link w:val="32"/>
    <w:locked/>
    <w:rsid w:val="00443D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443D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2">
    <w:name w:val="Основний текст (2)_"/>
    <w:link w:val="20"/>
    <w:locked/>
    <w:rsid w:val="00443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43D6E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Основной текст_"/>
    <w:link w:val="1"/>
    <w:locked/>
    <w:rsid w:val="00443D6E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443D6E"/>
    <w:pPr>
      <w:shd w:val="clear" w:color="auto" w:fill="FFFFFF"/>
      <w:spacing w:after="0" w:line="274" w:lineRule="exact"/>
      <w:ind w:hanging="900"/>
      <w:jc w:val="both"/>
    </w:pPr>
    <w:rPr>
      <w:sz w:val="23"/>
      <w:szCs w:val="23"/>
      <w:lang w:val="uk-UA"/>
    </w:rPr>
  </w:style>
  <w:style w:type="character" w:customStyle="1" w:styleId="21">
    <w:name w:val="Основной текст (2)_"/>
    <w:link w:val="22"/>
    <w:locked/>
    <w:rsid w:val="00443D6E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D6E"/>
    <w:pPr>
      <w:shd w:val="clear" w:color="auto" w:fill="FFFFFF"/>
      <w:spacing w:after="0" w:line="240" w:lineRule="exact"/>
      <w:jc w:val="center"/>
    </w:pPr>
    <w:rPr>
      <w:sz w:val="23"/>
      <w:szCs w:val="23"/>
      <w:lang w:val="uk-UA"/>
    </w:rPr>
  </w:style>
  <w:style w:type="character" w:customStyle="1" w:styleId="23">
    <w:name w:val="Основной текст + Полужирный2"/>
    <w:rsid w:val="00443D6E"/>
    <w:rPr>
      <w:b/>
      <w:bCs/>
      <w:sz w:val="23"/>
      <w:szCs w:val="23"/>
      <w:shd w:val="clear" w:color="auto" w:fill="FFFFFF"/>
      <w:lang w:bidi="ar-SA"/>
    </w:rPr>
  </w:style>
  <w:style w:type="character" w:customStyle="1" w:styleId="24">
    <w:name w:val="Основной текст (2) + Не полужирный"/>
    <w:rsid w:val="00443D6E"/>
    <w:rPr>
      <w:b/>
      <w:bCs/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rsid w:val="00443D6E"/>
    <w:rPr>
      <w:b/>
      <w:bCs/>
      <w:sz w:val="23"/>
      <w:szCs w:val="23"/>
      <w:shd w:val="clear" w:color="auto" w:fill="FFFFFF"/>
      <w:lang w:bidi="ar-SA"/>
    </w:rPr>
  </w:style>
  <w:style w:type="character" w:customStyle="1" w:styleId="apple-converted-space">
    <w:name w:val="apple-converted-space"/>
    <w:rsid w:val="0044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L." TargetMode="External"/><Relationship Id="rId5" Type="http://schemas.openxmlformats.org/officeDocument/2006/relationships/hyperlink" Target="http://ru.wikipedia.org/wiki/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Laskava</dc:creator>
  <cp:keywords/>
  <dc:description/>
  <cp:lastModifiedBy>Svitlana Laskava</cp:lastModifiedBy>
  <cp:revision>7</cp:revision>
  <dcterms:created xsi:type="dcterms:W3CDTF">2020-12-22T17:28:00Z</dcterms:created>
  <dcterms:modified xsi:type="dcterms:W3CDTF">2024-10-22T07:55:00Z</dcterms:modified>
</cp:coreProperties>
</file>