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CBDC" w14:textId="77777777" w:rsidR="00443D6E" w:rsidRPr="00443D6E" w:rsidRDefault="00443D6E" w:rsidP="00443D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43D6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ІНСТРУКЦІЯ</w:t>
      </w:r>
    </w:p>
    <w:p w14:paraId="2308CBDD" w14:textId="77777777" w:rsidR="00443D6E" w:rsidRPr="00443D6E" w:rsidRDefault="00443D6E" w:rsidP="00443D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для медичного застосування лікарського засобу </w:t>
      </w:r>
    </w:p>
    <w:p w14:paraId="2308CBDE" w14:textId="77777777" w:rsidR="00443D6E" w:rsidRPr="00443D6E" w:rsidRDefault="00443D6E" w:rsidP="00443D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308CBDF" w14:textId="77777777" w:rsidR="00443D6E" w:rsidRPr="00443D6E" w:rsidRDefault="00443D6E" w:rsidP="00443D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</w:pPr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НЕЙРОПЛАНТ</w:t>
      </w:r>
    </w:p>
    <w:p w14:paraId="2308CBE0" w14:textId="77777777" w:rsidR="00443D6E" w:rsidRPr="00443D6E" w:rsidRDefault="00443D6E" w:rsidP="00443D6E">
      <w:pPr>
        <w:widowControl w:val="0"/>
        <w:spacing w:after="0" w:line="269" w:lineRule="exact"/>
        <w:ind w:left="104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2308CBE1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Склад</w:t>
      </w:r>
      <w:r w:rsidRPr="0044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:</w:t>
      </w:r>
    </w:p>
    <w:p w14:paraId="2308CBE2" w14:textId="77777777" w:rsidR="00443D6E" w:rsidRPr="00443D6E" w:rsidRDefault="00443D6E" w:rsidP="00443D6E">
      <w:pPr>
        <w:spacing w:after="0" w:line="274" w:lineRule="exact"/>
        <w:ind w:right="-30"/>
        <w:jc w:val="both"/>
        <w:rPr>
          <w:rFonts w:ascii="Times New Roman" w:hAnsi="Times New Roman"/>
          <w:sz w:val="24"/>
          <w:szCs w:val="24"/>
          <w:lang w:val="uk-UA"/>
        </w:rPr>
      </w:pPr>
      <w:r w:rsidRPr="00443D6E">
        <w:rPr>
          <w:rFonts w:ascii="Times New Roman" w:hAnsi="Times New Roman"/>
          <w:i/>
          <w:sz w:val="24"/>
          <w:szCs w:val="24"/>
          <w:lang w:val="uk-UA"/>
        </w:rPr>
        <w:t xml:space="preserve">діюча речовина: </w:t>
      </w:r>
      <w:r w:rsidRPr="00443D6E">
        <w:rPr>
          <w:rFonts w:ascii="Times New Roman" w:hAnsi="Times New Roman"/>
          <w:sz w:val="24"/>
          <w:szCs w:val="24"/>
          <w:lang w:val="uk-UA"/>
        </w:rPr>
        <w:t>сухий екстракт із трави звіробою (</w:t>
      </w:r>
      <w:r w:rsidRPr="00443D6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la-Latn"/>
        </w:rPr>
        <w:t>Hypericum perforatum</w:t>
      </w:r>
      <w:r w:rsidRPr="00443D6E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 </w:t>
      </w:r>
      <w:r w:rsidR="00DF5C0B">
        <w:fldChar w:fldCharType="begin"/>
      </w:r>
      <w:r w:rsidR="00DF5C0B" w:rsidRPr="00DF5C0B">
        <w:rPr>
          <w:lang w:val="uk-UA"/>
        </w:rPr>
        <w:instrText xml:space="preserve"> </w:instrText>
      </w:r>
      <w:r w:rsidR="00DF5C0B">
        <w:instrText>HYPERLINK</w:instrText>
      </w:r>
      <w:r w:rsidR="00DF5C0B" w:rsidRPr="00DF5C0B">
        <w:rPr>
          <w:lang w:val="uk-UA"/>
        </w:rPr>
        <w:instrText xml:space="preserve"> "</w:instrText>
      </w:r>
      <w:r w:rsidR="00DF5C0B">
        <w:instrText>http</w:instrText>
      </w:r>
      <w:r w:rsidR="00DF5C0B" w:rsidRPr="00DF5C0B">
        <w:rPr>
          <w:lang w:val="uk-UA"/>
        </w:rPr>
        <w:instrText>://</w:instrText>
      </w:r>
      <w:r w:rsidR="00DF5C0B">
        <w:instrText>ru</w:instrText>
      </w:r>
      <w:r w:rsidR="00DF5C0B" w:rsidRPr="00DF5C0B">
        <w:rPr>
          <w:lang w:val="uk-UA"/>
        </w:rPr>
        <w:instrText>.</w:instrText>
      </w:r>
      <w:r w:rsidR="00DF5C0B">
        <w:instrText>wikipedia</w:instrText>
      </w:r>
      <w:r w:rsidR="00DF5C0B" w:rsidRPr="00DF5C0B">
        <w:rPr>
          <w:lang w:val="uk-UA"/>
        </w:rPr>
        <w:instrText>.</w:instrText>
      </w:r>
      <w:r w:rsidR="00DF5C0B">
        <w:instrText>org</w:instrText>
      </w:r>
      <w:r w:rsidR="00DF5C0B" w:rsidRPr="00DF5C0B">
        <w:rPr>
          <w:lang w:val="uk-UA"/>
        </w:rPr>
        <w:instrText>/</w:instrText>
      </w:r>
      <w:r w:rsidR="00DF5C0B">
        <w:instrText>wiki</w:instrText>
      </w:r>
      <w:r w:rsidR="00DF5C0B" w:rsidRPr="00DF5C0B">
        <w:rPr>
          <w:lang w:val="uk-UA"/>
        </w:rPr>
        <w:instrText>/</w:instrText>
      </w:r>
      <w:r w:rsidR="00DF5C0B">
        <w:instrText>L</w:instrText>
      </w:r>
      <w:r w:rsidR="00DF5C0B" w:rsidRPr="00DF5C0B">
        <w:rPr>
          <w:lang w:val="uk-UA"/>
        </w:rPr>
        <w:instrText>." \</w:instrText>
      </w:r>
      <w:r w:rsidR="00DF5C0B">
        <w:instrText>o</w:instrText>
      </w:r>
      <w:r w:rsidR="00DF5C0B" w:rsidRPr="00DF5C0B">
        <w:rPr>
          <w:lang w:val="uk-UA"/>
        </w:rPr>
        <w:instrText xml:space="preserve"> "</w:instrText>
      </w:r>
      <w:r w:rsidR="00DF5C0B">
        <w:instrText>L</w:instrText>
      </w:r>
      <w:r w:rsidR="00DF5C0B" w:rsidRPr="00DF5C0B">
        <w:rPr>
          <w:lang w:val="uk-UA"/>
        </w:rPr>
        <w:instrText xml:space="preserve">." </w:instrText>
      </w:r>
      <w:r w:rsidR="00DF5C0B">
        <w:fldChar w:fldCharType="separate"/>
      </w:r>
      <w:r w:rsidRPr="00443D6E">
        <w:rPr>
          <w:smallCaps/>
          <w:color w:val="0066CC"/>
          <w:sz w:val="24"/>
          <w:szCs w:val="24"/>
          <w:u w:val="single"/>
          <w:shd w:val="clear" w:color="auto" w:fill="FFFFFF"/>
          <w:lang w:val="uk-UA"/>
        </w:rPr>
        <w:t>L.</w:t>
      </w:r>
      <w:r w:rsidR="00DF5C0B">
        <w:rPr>
          <w:smallCaps/>
          <w:color w:val="0066CC"/>
          <w:sz w:val="24"/>
          <w:szCs w:val="24"/>
          <w:u w:val="single"/>
          <w:shd w:val="clear" w:color="auto" w:fill="FFFFFF"/>
          <w:lang w:val="uk-UA"/>
        </w:rPr>
        <w:fldChar w:fldCharType="end"/>
      </w:r>
      <w:r w:rsidRPr="00443D6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2308CBE3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1 таблетка, вкрита оболонкою, 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містить 300 мг сухого екстракту із трави звіробою (</w:t>
      </w:r>
      <w:r w:rsidRPr="00DF5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la-Latn" w:eastAsia="uk-UA" w:bidi="uk-UA"/>
        </w:rPr>
        <w:t>Hypericum perforatum</w:t>
      </w: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uk-UA" w:bidi="uk-UA"/>
        </w:rPr>
        <w:t> </w:t>
      </w:r>
      <w:r w:rsidR="00DF5C0B" w:rsidRPr="00DF5C0B">
        <w:fldChar w:fldCharType="begin"/>
      </w:r>
      <w:r w:rsidR="00DF5C0B" w:rsidRPr="00DF5C0B">
        <w:rPr>
          <w:lang w:val="uk-UA"/>
        </w:rPr>
        <w:instrText xml:space="preserve"> </w:instrText>
      </w:r>
      <w:r w:rsidR="00DF5C0B" w:rsidRPr="00DF5C0B">
        <w:instrText>HYPERLINK</w:instrText>
      </w:r>
      <w:r w:rsidR="00DF5C0B" w:rsidRPr="00DF5C0B">
        <w:rPr>
          <w:lang w:val="uk-UA"/>
        </w:rPr>
        <w:instrText xml:space="preserve"> "</w:instrText>
      </w:r>
      <w:r w:rsidR="00DF5C0B" w:rsidRPr="00DF5C0B">
        <w:instrText>http</w:instrText>
      </w:r>
      <w:r w:rsidR="00DF5C0B" w:rsidRPr="00DF5C0B">
        <w:rPr>
          <w:lang w:val="uk-UA"/>
        </w:rPr>
        <w:instrText>://</w:instrText>
      </w:r>
      <w:r w:rsidR="00DF5C0B" w:rsidRPr="00DF5C0B">
        <w:instrText>ru</w:instrText>
      </w:r>
      <w:r w:rsidR="00DF5C0B" w:rsidRPr="00DF5C0B">
        <w:rPr>
          <w:lang w:val="uk-UA"/>
        </w:rPr>
        <w:instrText>.</w:instrText>
      </w:r>
      <w:r w:rsidR="00DF5C0B" w:rsidRPr="00DF5C0B">
        <w:instrText>wikipedia</w:instrText>
      </w:r>
      <w:r w:rsidR="00DF5C0B" w:rsidRPr="00DF5C0B">
        <w:rPr>
          <w:lang w:val="uk-UA"/>
        </w:rPr>
        <w:instrText>.</w:instrText>
      </w:r>
      <w:r w:rsidR="00DF5C0B" w:rsidRPr="00DF5C0B">
        <w:instrText>org</w:instrText>
      </w:r>
      <w:r w:rsidR="00DF5C0B" w:rsidRPr="00DF5C0B">
        <w:rPr>
          <w:lang w:val="uk-UA"/>
        </w:rPr>
        <w:instrText>/</w:instrText>
      </w:r>
      <w:r w:rsidR="00DF5C0B" w:rsidRPr="00DF5C0B">
        <w:instrText>wiki</w:instrText>
      </w:r>
      <w:r w:rsidR="00DF5C0B" w:rsidRPr="00DF5C0B">
        <w:rPr>
          <w:lang w:val="uk-UA"/>
        </w:rPr>
        <w:instrText>/</w:instrText>
      </w:r>
      <w:r w:rsidR="00DF5C0B" w:rsidRPr="00DF5C0B">
        <w:instrText>L</w:instrText>
      </w:r>
      <w:r w:rsidR="00DF5C0B" w:rsidRPr="00DF5C0B">
        <w:rPr>
          <w:lang w:val="uk-UA"/>
        </w:rPr>
        <w:instrText>." \</w:instrText>
      </w:r>
      <w:r w:rsidR="00DF5C0B" w:rsidRPr="00DF5C0B">
        <w:instrText>o</w:instrText>
      </w:r>
      <w:r w:rsidR="00DF5C0B" w:rsidRPr="00DF5C0B">
        <w:rPr>
          <w:lang w:val="uk-UA"/>
        </w:rPr>
        <w:instrText xml:space="preserve"> "</w:instrText>
      </w:r>
      <w:r w:rsidR="00DF5C0B" w:rsidRPr="00DF5C0B">
        <w:instrText>L</w:instrText>
      </w:r>
      <w:r w:rsidR="00DF5C0B" w:rsidRPr="00DF5C0B">
        <w:rPr>
          <w:lang w:val="uk-UA"/>
        </w:rPr>
        <w:instrText xml:space="preserve">." </w:instrText>
      </w:r>
      <w:r w:rsidR="00DF5C0B" w:rsidRPr="00DF5C0B">
        <w:fldChar w:fldCharType="separate"/>
      </w:r>
      <w:r w:rsidRPr="00DF5C0B">
        <w:rPr>
          <w:rFonts w:ascii="Arial Unicode MS" w:eastAsia="Times New Roman" w:hAnsi="Arial Unicode MS" w:cs="Times New Roman"/>
          <w:smallCaps/>
          <w:sz w:val="24"/>
          <w:szCs w:val="24"/>
          <w:u w:val="single"/>
          <w:shd w:val="clear" w:color="auto" w:fill="FFFFFF"/>
          <w:lang w:val="uk-UA" w:eastAsia="uk-UA" w:bidi="uk-UA"/>
        </w:rPr>
        <w:t>L.</w:t>
      </w:r>
      <w:r w:rsidR="00DF5C0B" w:rsidRPr="00DF5C0B">
        <w:rPr>
          <w:rFonts w:ascii="Arial Unicode MS" w:eastAsia="Times New Roman" w:hAnsi="Arial Unicode MS" w:cs="Times New Roman"/>
          <w:smallCaps/>
          <w:sz w:val="24"/>
          <w:szCs w:val="24"/>
          <w:u w:val="single"/>
          <w:shd w:val="clear" w:color="auto" w:fill="FFFFFF"/>
          <w:lang w:val="uk-UA" w:eastAsia="uk-UA" w:bidi="uk-UA"/>
        </w:rPr>
        <w:fldChar w:fldCharType="end"/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 (3</w:t>
      </w:r>
      <w:r w:rsidRPr="00DF5C0B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7:1) [екстрагент: метанол 80 % (об./об.)];</w:t>
      </w:r>
    </w:p>
    <w:p w14:paraId="2308CBE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допоміжні речовини: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кислота аскорбінова, целюлоза мікрокристалічна, натрію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кроскармелоза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гіпромелоза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лактози моногідрат,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макрогол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4000, магнію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стеарат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сахарин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натрію, кремнію діоксид, тальк, ванілін, титану діоксид (Е 171), заліза оксид жовтий (Е 172), крохмаль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прежелатинізований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емульсія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протипінна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(містить метилцелюлозу,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симетикон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кислоту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сорбінову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).</w:t>
      </w:r>
    </w:p>
    <w:p w14:paraId="2308CBE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BE6" w14:textId="77777777" w:rsidR="00443D6E" w:rsidRPr="00443D6E" w:rsidRDefault="00443D6E" w:rsidP="00443D6E">
      <w:pPr>
        <w:spacing w:after="0" w:line="240" w:lineRule="auto"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443D6E">
        <w:rPr>
          <w:rFonts w:ascii="Times New Roman" w:hAnsi="Times New Roman"/>
          <w:b/>
          <w:sz w:val="24"/>
          <w:szCs w:val="24"/>
          <w:lang w:val="uk-UA"/>
        </w:rPr>
        <w:t>Лікарська форма.</w:t>
      </w:r>
      <w:r w:rsidRPr="00443D6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Таблетки, вкриті оболонкою.</w:t>
      </w:r>
    </w:p>
    <w:p w14:paraId="2308CBE7" w14:textId="77777777" w:rsidR="00443D6E" w:rsidRPr="00443D6E" w:rsidRDefault="00443D6E" w:rsidP="00443D6E">
      <w:pPr>
        <w:spacing w:after="0" w:line="240" w:lineRule="auto"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443D6E">
        <w:rPr>
          <w:rFonts w:ascii="Times New Roman" w:hAnsi="Times New Roman"/>
          <w:i/>
          <w:sz w:val="24"/>
          <w:szCs w:val="24"/>
          <w:lang w:val="uk-UA"/>
        </w:rPr>
        <w:t xml:space="preserve">Основні фізико-хімічні властивості: </w:t>
      </w:r>
      <w:r w:rsidRPr="00443D6E">
        <w:rPr>
          <w:rFonts w:ascii="Times New Roman" w:hAnsi="Times New Roman"/>
          <w:iCs/>
          <w:sz w:val="24"/>
          <w:szCs w:val="24"/>
          <w:lang w:val="uk-UA"/>
        </w:rPr>
        <w:t>к</w:t>
      </w:r>
      <w:r w:rsidRPr="00443D6E">
        <w:rPr>
          <w:rFonts w:ascii="Times New Roman" w:hAnsi="Times New Roman"/>
          <w:sz w:val="24"/>
          <w:szCs w:val="24"/>
          <w:lang w:val="uk-UA"/>
        </w:rPr>
        <w:t xml:space="preserve">руглі </w:t>
      </w:r>
      <w:proofErr w:type="spellStart"/>
      <w:r w:rsidRPr="00443D6E">
        <w:rPr>
          <w:rFonts w:ascii="Times New Roman" w:hAnsi="Times New Roman"/>
          <w:sz w:val="24"/>
          <w:szCs w:val="24"/>
          <w:lang w:val="uk-UA"/>
        </w:rPr>
        <w:t>коричнювато</w:t>
      </w:r>
      <w:proofErr w:type="spellEnd"/>
      <w:r w:rsidRPr="00443D6E">
        <w:rPr>
          <w:rFonts w:ascii="Times New Roman" w:hAnsi="Times New Roman"/>
          <w:sz w:val="24"/>
          <w:szCs w:val="24"/>
          <w:lang w:val="uk-UA"/>
        </w:rPr>
        <w:t xml:space="preserve">-жовті (колір </w:t>
      </w:r>
      <w:proofErr w:type="spellStart"/>
      <w:r w:rsidRPr="00443D6E">
        <w:rPr>
          <w:rFonts w:ascii="Times New Roman" w:hAnsi="Times New Roman"/>
          <w:sz w:val="24"/>
          <w:szCs w:val="24"/>
          <w:lang w:val="uk-UA"/>
        </w:rPr>
        <w:t>охри</w:t>
      </w:r>
      <w:proofErr w:type="spellEnd"/>
      <w:r w:rsidRPr="00443D6E">
        <w:rPr>
          <w:rFonts w:ascii="Times New Roman" w:hAnsi="Times New Roman"/>
          <w:sz w:val="24"/>
          <w:szCs w:val="24"/>
          <w:lang w:val="uk-UA"/>
        </w:rPr>
        <w:t>) таблетки, вкриті оболонкою</w:t>
      </w:r>
      <w:r w:rsidRPr="00443D6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</w:p>
    <w:p w14:paraId="2308CBE8" w14:textId="77777777" w:rsidR="00443D6E" w:rsidRPr="00443D6E" w:rsidRDefault="00443D6E" w:rsidP="00443D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14:paraId="2308CBE9" w14:textId="77777777" w:rsidR="00443D6E" w:rsidRPr="00443D6E" w:rsidRDefault="00443D6E" w:rsidP="00443D6E">
      <w:pPr>
        <w:spacing w:after="0" w:line="240" w:lineRule="auto"/>
        <w:jc w:val="both"/>
        <w:rPr>
          <w:sz w:val="23"/>
          <w:szCs w:val="23"/>
          <w:lang w:val="uk-UA"/>
        </w:rPr>
      </w:pPr>
      <w:proofErr w:type="spellStart"/>
      <w:r w:rsidRPr="00443D6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Фармакотерапевтична</w:t>
      </w:r>
      <w:proofErr w:type="spellEnd"/>
      <w:r w:rsidRPr="00443D6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група.</w:t>
      </w:r>
      <w:r w:rsidRPr="00443D6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308CBEA" w14:textId="77777777" w:rsidR="00443D6E" w:rsidRPr="00443D6E" w:rsidRDefault="00443D6E" w:rsidP="00443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3D6E">
        <w:rPr>
          <w:rFonts w:ascii="Times New Roman" w:hAnsi="Times New Roman"/>
          <w:sz w:val="24"/>
          <w:szCs w:val="24"/>
          <w:lang w:val="uk-UA"/>
        </w:rPr>
        <w:t xml:space="preserve">Антидепресанти. Код АТХ </w:t>
      </w:r>
      <w:r w:rsidRPr="00443D6E">
        <w:rPr>
          <w:rFonts w:ascii="Times New Roman" w:hAnsi="Times New Roman"/>
          <w:sz w:val="24"/>
          <w:szCs w:val="24"/>
          <w:lang w:val="en-US"/>
        </w:rPr>
        <w:t>N</w:t>
      </w:r>
      <w:r w:rsidRPr="00443D6E">
        <w:rPr>
          <w:rFonts w:ascii="Times New Roman" w:hAnsi="Times New Roman"/>
          <w:sz w:val="24"/>
          <w:szCs w:val="24"/>
          <w:lang w:val="uk-UA"/>
        </w:rPr>
        <w:t>06</w:t>
      </w:r>
      <w:r w:rsidRPr="00443D6E">
        <w:rPr>
          <w:rFonts w:ascii="Times New Roman" w:hAnsi="Times New Roman"/>
          <w:sz w:val="24"/>
          <w:szCs w:val="24"/>
          <w:lang w:val="en-US"/>
        </w:rPr>
        <w:t>A</w:t>
      </w:r>
      <w:r w:rsidRPr="00277A4C">
        <w:rPr>
          <w:rFonts w:ascii="Times New Roman" w:hAnsi="Times New Roman"/>
          <w:sz w:val="24"/>
          <w:szCs w:val="24"/>
        </w:rPr>
        <w:t xml:space="preserve"> </w:t>
      </w:r>
      <w:r w:rsidRPr="00443D6E">
        <w:rPr>
          <w:rFonts w:ascii="Times New Roman" w:hAnsi="Times New Roman"/>
          <w:sz w:val="24"/>
          <w:szCs w:val="24"/>
          <w:lang w:val="en-US"/>
        </w:rPr>
        <w:t>X</w:t>
      </w:r>
      <w:r w:rsidRPr="00443D6E">
        <w:rPr>
          <w:rFonts w:ascii="Times New Roman" w:hAnsi="Times New Roman"/>
          <w:sz w:val="24"/>
          <w:szCs w:val="24"/>
          <w:lang w:val="uk-UA"/>
        </w:rPr>
        <w:t>25.</w:t>
      </w:r>
    </w:p>
    <w:p w14:paraId="2308CBEB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BEC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Фармакологічні властивості.</w:t>
      </w:r>
    </w:p>
    <w:p w14:paraId="2308CBED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Фармакодинаміка</w:t>
      </w:r>
      <w:proofErr w:type="spellEnd"/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.</w:t>
      </w:r>
    </w:p>
    <w:p w14:paraId="2308CBEE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Сухий екстракт із трави звіробою гальмує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синаптосомальне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поглинання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нейропереносників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серотоніну,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норадреналіну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допаміну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Субхронічне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лікування спричиняє послаблення регуляції бета-адренергічних рецепторів; це змінює поведінку тварин у деяких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антидепресантних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моделях (наприклад, тесті примусового плавання) аналогічно синтетичним антидепресантам.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Наптодіантрони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(наприклад,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гіперицин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псевдогіперицин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похідні  флороглюцину (наприклад,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гіперфорин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 і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флавоноїди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відповідальні за цю дію.</w:t>
      </w:r>
    </w:p>
    <w:p w14:paraId="2308CBEF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Фармакокінетика.</w:t>
      </w:r>
    </w:p>
    <w:p w14:paraId="2308CBF0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Фармакокінетика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і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псевдогіперицину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, характерних маркерів препаратів звіробою, була вивчена у дослідженні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гіперипланту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300 мг при рівноважній концентрації: при 10-денному застосуванні по 1200 мг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метанольного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екстракту звіробою на день були отримані максимальні рівні у плазмі крові 2,3</w:t>
      </w:r>
      <w:r w:rsidRPr="00443D6E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7,6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і 1,1</w:t>
      </w:r>
      <w:r w:rsidRPr="00443D6E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7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псевдогіперицину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. </w:t>
      </w:r>
    </w:p>
    <w:p w14:paraId="2308CBF1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Фармакокінетичні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дані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гіперфорину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були отримані після призначення вказаного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етанольного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екстракту (3</w:t>
      </w:r>
      <w:r w:rsidRPr="00443D6E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6 %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гіперфорину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): після перорального прийому разових доз, що становлять 600 мг і 1200 мг екстракту, були визначені максимальні рівні у плазмі крові 301,8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після 3,5 години і 437,3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після 2,8 години відповідно. Період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напіввиведення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становив 8,5 години і 9,6 години відповідно. При безперервному лікуванні протягом 8 днів із застосуванням 900 мг екстракту 1 раз на день мінімальний рівень у плазмі крові, що становить 35,5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/мл, і максимальний рівень у плазмі крові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–</w:t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246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–</w:t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 були виявлені на 8-й день лікування. Період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напіввиведення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становив 11,2 години.</w:t>
      </w:r>
    </w:p>
    <w:p w14:paraId="2308CBF2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</w:p>
    <w:p w14:paraId="2308CBF3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Клінічні характеристики.</w:t>
      </w:r>
    </w:p>
    <w:p w14:paraId="2308CBF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Показання.</w:t>
      </w: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 </w:t>
      </w:r>
    </w:p>
    <w:p w14:paraId="2308CBF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Лікування депресивних епізодів легкого ступеня. </w:t>
      </w:r>
    </w:p>
    <w:p w14:paraId="2308CBF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BF7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 xml:space="preserve">Протипоказання. </w:t>
      </w:r>
    </w:p>
    <w:p w14:paraId="2308CBF8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Гіперчутливість до компонентів лікарського засобу. Відома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гіперчутливість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шкіри до світла,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фотосенсибілізація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Одночасне лікування із застосуванням препаратів, що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метаболізуються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цитохромом Р450 3А4,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CYP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9,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CYP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19 і Р-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глікопротеїнами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: </w:t>
      </w:r>
    </w:p>
    <w:p w14:paraId="2308CBF9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інгібіторів протеази для лікування ВІЛ-інфекції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циклоспорину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такролімусу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індинавіру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або інших);</w:t>
      </w:r>
    </w:p>
    <w:p w14:paraId="2308CBFA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інгібіторів протеази вірусу гепатиту С;</w:t>
      </w:r>
    </w:p>
    <w:p w14:paraId="2308CBFB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імунодепресантів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;</w:t>
      </w:r>
    </w:p>
    <w:p w14:paraId="2308CBFC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засобів, що пригнічують ріст клітин і застосовуються для лікування раку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іринотекан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іматиніб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інші);</w:t>
      </w:r>
    </w:p>
    <w:p w14:paraId="2308CBFD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амітриптиліну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нортриптиліну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; </w:t>
      </w:r>
    </w:p>
    <w:p w14:paraId="2308CBFE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мідазоламу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; </w:t>
      </w:r>
    </w:p>
    <w:p w14:paraId="2308CBFF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теофіліну;</w:t>
      </w:r>
    </w:p>
    <w:p w14:paraId="2308CC00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гіпохолестеринемічних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засобів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статинів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);</w:t>
      </w:r>
    </w:p>
    <w:p w14:paraId="2308CC01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серцевих глікозидів;</w:t>
      </w:r>
    </w:p>
    <w:p w14:paraId="2308CC02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антикоагулянтів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кумаринового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ряду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варфарин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);</w:t>
      </w:r>
    </w:p>
    <w:p w14:paraId="2308CC03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інших антидепресантів;</w:t>
      </w:r>
    </w:p>
    <w:p w14:paraId="2308CC04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пероральних контрацептивів, ін’єкційних контрацептивів та контрацептивів імплантатів.</w:t>
      </w:r>
    </w:p>
    <w:p w14:paraId="2308CC0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Тяжкі депресивні стани. Артеріальна гіпертензія.</w:t>
      </w:r>
    </w:p>
    <w:p w14:paraId="2308CC0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2308CC07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bookmarkStart w:id="0" w:name="_Hlk161654937"/>
      <w:r w:rsidRPr="00DF5C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Взаємодія з іншими лікарськими засобами та інші види взаємодій.</w:t>
      </w:r>
    </w:p>
    <w:p w14:paraId="2308CC08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При одночасному прийомі </w:t>
      </w:r>
      <w:proofErr w:type="spellStart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Нейропланту</w:t>
      </w:r>
      <w:proofErr w:type="spellEnd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може зменшитися ефективність таких лікарських засобів: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антикоагулянти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кумаринового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ряду (наприклад,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фенпрокумон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варфарин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);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амітриптилін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нортриптилін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;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мідазолам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; теофілін; антибіотики; сульфаніламіди; блокатори кальцієвих каналів; жіночі статеві гормони, </w:t>
      </w:r>
      <w:proofErr w:type="spellStart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гіпохолестеринемічні</w:t>
      </w:r>
      <w:proofErr w:type="spellEnd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засоби (</w:t>
      </w:r>
      <w:proofErr w:type="spellStart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статини</w:t>
      </w:r>
      <w:proofErr w:type="spellEnd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)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серцеві глікозиди, 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тому їх одночасне застосування протипоказане.</w:t>
      </w:r>
    </w:p>
    <w:p w14:paraId="2308CC09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При одночасному прийомі пероральних контрацептивів може спостерігатися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міжменструальна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кровотеча; надійність контрацептивних засобів може бути знижена. </w:t>
      </w:r>
    </w:p>
    <w:p w14:paraId="2308CC0A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 разі супутньої терапії із застосуванням препаратів, що впливають на підвищену чутливість шкіри до світла, можливе збільшення чутливості до сонячного опромінення. </w:t>
      </w:r>
    </w:p>
    <w:p w14:paraId="2308CC0B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Лікарські засоби, що містять екстракт звіробою продірявленого, можуть знижувати концентрацію у плазмі крові препаратів, що </w:t>
      </w:r>
      <w:proofErr w:type="spellStart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метаболізуються</w:t>
      </w:r>
      <w:proofErr w:type="spellEnd"/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цитохромом Р450 3А4, 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CYP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2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C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9, 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CYP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2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C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19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 Р-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глікопротеїнами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(наприклад,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амітриптиліну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нортриптиліну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фексофенадину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бензодіазепінів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їх похідних,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метадону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симвастатину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фінастериду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антидепресантів та інших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серотонінергічних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речовин </w:t>
      </w:r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(такі як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буспірон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циталопрам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есциталопрам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флуоксетин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сертралін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триптани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нефазолон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трамадол</w:t>
      </w:r>
      <w:proofErr w:type="spellEnd"/>
      <w:r w:rsidRPr="00DF5C0B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 та інші).</w:t>
      </w:r>
    </w:p>
    <w:p w14:paraId="2308CC0C" w14:textId="77777777" w:rsidR="00443D6E" w:rsidRPr="00DF5C0B" w:rsidRDefault="00443D6E" w:rsidP="00443D6E">
      <w:pPr>
        <w:widowControl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val="uk-UA"/>
        </w:rPr>
      </w:pPr>
    </w:p>
    <w:bookmarkEnd w:id="0"/>
    <w:p w14:paraId="2308CC0D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uk-UA" w:eastAsia="uk-UA"/>
        </w:rPr>
      </w:pPr>
      <w:r w:rsidRPr="00DF5C0B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Особливості застосування.</w:t>
      </w:r>
    </w:p>
    <w:p w14:paraId="2308CC0E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Ефект антикоагулянтів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кумаринового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типу (наприклад,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фенпрокумону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варфарину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дигоксину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теофіліну і деяких депресантів може зменшуватися при одночасному застосуванні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 Лікування пацієнтів препаратами, що містять одну з таких речовин, слід проводити під контролем (наприклад, визначати концентрацію цих речовин у плазмі або в усій крові на початку лікування і після його завершення).</w:t>
      </w:r>
    </w:p>
    <w:p w14:paraId="2308CC0F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Під час прийому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Нейропланту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слід уникати інтенсивного впливу сонячних променів протягом тривалого часу, якщо шкіра незахищена, та процедур із застосуванням ультрафіолетового випромінювання (кварц, УФ-лампи, солярій). </w:t>
      </w:r>
    </w:p>
    <w:p w14:paraId="2308CC10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 супутньому застосуванні певних антидепресантів (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нефазодон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пароксетин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сертралін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 в окремих випадках  виразніше можуть спостерігатися несприятливі реакції (нудота, блювання, відчуття страху, занепокоєння та сплутаність свідомості).</w:t>
      </w:r>
    </w:p>
    <w:p w14:paraId="2308CC11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Пацієнтам з рідкісною спадковою непереносимістю галактози, дефіцитом лактази або порушенням всмоктування глюкози-галактози не слід приймати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</w:p>
    <w:p w14:paraId="2308CC12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Інформація для хворих на діабет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: 1 таблетка, вкрита оболонкою, містить </w:t>
      </w:r>
      <w:smartTag w:uri="urn:schemas-microsoft-com:office:smarttags" w:element="metricconverter">
        <w:smartTagPr>
          <w:attr w:name="ProductID" w:val="0,048 г"/>
        </w:smartTagPr>
        <w:r w:rsidRPr="00DF5C0B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uk-UA" w:bidi="uk-UA"/>
          </w:rPr>
          <w:t>0,048 г</w:t>
        </w:r>
      </w:smartTag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вуглеводів.</w:t>
      </w:r>
    </w:p>
    <w:p w14:paraId="2308CC13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 хірургічним втручанням рекомендується визначити можливість взаємодії з препаратами, які застосовуються для загальної та місцевої анестезії. У разі необхідності 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прийом лікарського засобу треба припинити.</w:t>
      </w:r>
    </w:p>
    <w:p w14:paraId="2308CC14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Препарати, що містять екстракт трави звіробою, слід приймати з обережністю разом з інгібіторами серотоніну або з іншими </w:t>
      </w:r>
      <w:proofErr w:type="spellStart"/>
      <w:r w:rsidRPr="00DF5C0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серотонінергічними</w:t>
      </w:r>
      <w:proofErr w:type="spellEnd"/>
      <w:r w:rsidRPr="00DF5C0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лікарськими засобами, оскільки у дуже рідких випадках можуть проявлятися небажані ефекти (синдром серотоніну) у вигляді вегетативних дисфункцій (наприклад, підвищене потовиділення, тахікардія, діарея, лихоманка), психічних (наприклад, хвилювання, дезорієнтація) і моторних змін (наприклад, тремтіння чи </w:t>
      </w:r>
      <w:proofErr w:type="spellStart"/>
      <w:r w:rsidRPr="00DF5C0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міоклонія</w:t>
      </w:r>
      <w:proofErr w:type="spellEnd"/>
      <w:r w:rsidRPr="00DF5C0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).</w:t>
      </w:r>
    </w:p>
    <w:p w14:paraId="2308CC15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DF5C0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Оскільки немає достатніх даних, застосування лікарського засобу дітям та підліткам до 18 років не рекомендується.</w:t>
      </w:r>
    </w:p>
    <w:p w14:paraId="2308CC16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17" w14:textId="77777777" w:rsidR="00443D6E" w:rsidRPr="00DF5C0B" w:rsidRDefault="00443D6E" w:rsidP="00443D6E">
      <w:pPr>
        <w:widowControl w:val="0"/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Застосування у період вагітності та годування груддю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</w:p>
    <w:p w14:paraId="2308CC18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Оскільки немає достатніх досліджень,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не можна застосовувати у період вагітності або годування груддю.</w:t>
      </w:r>
    </w:p>
    <w:p w14:paraId="2308CC19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2308CC1A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Здатність впливати на швидкість реакції при керуванні автотранспортом або іншими механізмами. </w:t>
      </w:r>
    </w:p>
    <w:p w14:paraId="2308CC1B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Невідома. </w:t>
      </w:r>
    </w:p>
    <w:p w14:paraId="2308CC1C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1D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 xml:space="preserve">Спосіб застосування та дози. </w:t>
      </w:r>
    </w:p>
    <w:p w14:paraId="2308CC1E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Дорослим і пацієнтам літнього віку: </w:t>
      </w:r>
    </w:p>
    <w:p w14:paraId="2308CC1F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Разова доза – 300 мг. </w:t>
      </w:r>
    </w:p>
    <w:p w14:paraId="2308CC20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Частота прийому – 3 рази на день.</w:t>
      </w:r>
    </w:p>
    <w:p w14:paraId="2308CC21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Добова доза – 900 мг.</w:t>
      </w:r>
    </w:p>
    <w:p w14:paraId="2308CC22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Тривалість лікування</w:t>
      </w:r>
    </w:p>
    <w:p w14:paraId="2308CC23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Для досягнення явного поліпшення симптомів необхідне лікування протягом 4 тижнів. Якщо симптоми не зникають понад чотири тижні або якщо стан погіршується, незважаючи на правильний прийом, слід порадитися з лікарем. </w:t>
      </w:r>
    </w:p>
    <w:p w14:paraId="2308CC24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Таблетки, вкриті оболонкою, слід приймати не розжовуючи, запиваючи достатньою  кількістю рідини. Прийом таблеток не залежить від прийому їжі. </w:t>
      </w:r>
    </w:p>
    <w:p w14:paraId="2308CC25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2308CC26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Діти. </w:t>
      </w:r>
    </w:p>
    <w:p w14:paraId="2308CC27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Лікарський засіб не застосовувати дітям.</w:t>
      </w:r>
    </w:p>
    <w:p w14:paraId="2308CC28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29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Передозування.</w:t>
      </w: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 </w:t>
      </w:r>
    </w:p>
    <w:p w14:paraId="2308CC2A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Після прийому надмірних доз лікарського засобу можуть виникнути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фототоксичні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явища. У цьому випадку шкіру потрібно захищати від сонячного світла та УФ-променів протягом тижня (скоротити час перебування на відкритому повітрі, носити відповідний одяг і застосовувати сонцезахисні засоби з високим коефіцієнтом захисту). Лікування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фототоксичних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реакцій шкіри симптоматичне. </w:t>
      </w:r>
    </w:p>
    <w:p w14:paraId="2308CC2B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Надходили повідомлення про виникнення судом та сплутаність свідомості після прийому 4,5 г сухого екстракту із трави звіробою на день протягом двох тижнів, а також додатково 15 г сухого екстракту. У разі передозування лікарського засобу також можливе відчуття гіркоти у роті, неприємне відчуття в ділянці печінки.</w:t>
      </w:r>
    </w:p>
    <w:p w14:paraId="2308CC2C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2D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 xml:space="preserve">Побічні реакції. </w:t>
      </w:r>
    </w:p>
    <w:p w14:paraId="2308CC2E" w14:textId="77777777" w:rsidR="00443D6E" w:rsidRPr="00DF5C0B" w:rsidRDefault="00443D6E" w:rsidP="00443D6E">
      <w:pPr>
        <w:widowControl w:val="0"/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З боку шкіри, підшкірних тканин/імунної системи: 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алергічні реакції (почервоніння, набряк, свербіж, висипання). Гіперчутливість до світла: </w:t>
      </w: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у поодиноких випадках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може спричинити, особливо у людей з ніжною світлою шкірою, реакції, подібні до засмаги на ділянках шкіри, які зазнали інтенсивної дії сонячних променів або інших видів УФ-випромінювання (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фотосенсибілізація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 та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дизестезії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(наприклад, пощипування чутливість до холоду або болю, відчуття печіння).</w:t>
      </w:r>
    </w:p>
    <w:p w14:paraId="2308CC2F" w14:textId="77777777" w:rsidR="00443D6E" w:rsidRPr="00DF5C0B" w:rsidRDefault="00443D6E" w:rsidP="00443D6E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З боку нервової системи: 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апатія або занепокоєння.</w:t>
      </w:r>
    </w:p>
    <w:p w14:paraId="2308CC30" w14:textId="77777777" w:rsidR="00443D6E" w:rsidRPr="00DF5C0B" w:rsidRDefault="00443D6E" w:rsidP="00443D6E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Рідко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можуть з’являтися розлади з боку шлунково-кишкового тракту.</w:t>
      </w:r>
    </w:p>
    <w:p w14:paraId="2308CC31" w14:textId="77777777" w:rsidR="00443D6E" w:rsidRPr="00DF5C0B" w:rsidRDefault="00443D6E" w:rsidP="00443D6E">
      <w:pPr>
        <w:widowControl w:val="0"/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 виникненні будь-яких побічних реакцій потрібно припинити лікування та проконсультуватися з лікарем.</w:t>
      </w:r>
    </w:p>
    <w:p w14:paraId="2308CC32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33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Термін придатності.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34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 роки. </w:t>
      </w:r>
    </w:p>
    <w:p w14:paraId="2308CC35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Не застосовувати препарат після закінчення терміну придатності, зазначеного на упаковці. </w:t>
      </w:r>
    </w:p>
    <w:p w14:paraId="2308CC36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</w:p>
    <w:p w14:paraId="2308CC37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Умови зберігання.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38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Зберігати при температурі  не  вище  25 °С у  недоступному для  дітей  місці. </w:t>
      </w:r>
    </w:p>
    <w:p w14:paraId="2308CC39" w14:textId="77777777" w:rsidR="00443D6E" w:rsidRPr="00DF5C0B" w:rsidRDefault="00443D6E" w:rsidP="00443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08CC3A" w14:textId="77777777" w:rsidR="00443D6E" w:rsidRPr="00DF5C0B" w:rsidRDefault="00443D6E" w:rsidP="00443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5C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Упаковка.</w:t>
      </w:r>
      <w:r w:rsidRPr="00DF5C0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308CC3B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Блістери по 20 таблеток, вкритих оболонкою; 1 або 2 блістери в картонній коробці.</w:t>
      </w:r>
    </w:p>
    <w:p w14:paraId="2308CC3C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C3D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Категорія відпуску.</w:t>
      </w: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3E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Без рецепта.</w:t>
      </w:r>
    </w:p>
    <w:p w14:paraId="2308CC3F" w14:textId="77777777" w:rsidR="00443D6E" w:rsidRPr="00DF5C0B" w:rsidRDefault="00443D6E" w:rsidP="00443D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C40" w14:textId="77777777" w:rsidR="00443D6E" w:rsidRPr="00DF5C0B" w:rsidRDefault="00443D6E" w:rsidP="00443D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Виробник. </w:t>
      </w:r>
    </w:p>
    <w:p w14:paraId="2308CC41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Др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Вільмар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Швабе 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ГмбХ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 Ко. КГ.</w:t>
      </w:r>
    </w:p>
    <w:p w14:paraId="2308CC42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43" w14:textId="77777777" w:rsidR="00443D6E" w:rsidRPr="00DF5C0B" w:rsidRDefault="00443D6E" w:rsidP="0044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Місцезнаходження</w:t>
      </w:r>
      <w:proofErr w:type="spellEnd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виробника</w:t>
      </w:r>
      <w:proofErr w:type="spellEnd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його</w:t>
      </w:r>
      <w:proofErr w:type="spellEnd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адреса </w:t>
      </w:r>
      <w:proofErr w:type="spellStart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місця</w:t>
      </w:r>
      <w:proofErr w:type="spellEnd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провадження</w:t>
      </w:r>
      <w:proofErr w:type="spellEnd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діяльності</w:t>
      </w:r>
      <w:proofErr w:type="spellEnd"/>
      <w:r w:rsidRPr="00DF5C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2308CC44" w14:textId="77777777" w:rsidR="00443D6E" w:rsidRPr="00DF5C0B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Вільмар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-Швабе-</w:t>
      </w:r>
      <w:proofErr w:type="spellStart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Штрассе</w:t>
      </w:r>
      <w:proofErr w:type="spellEnd"/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4, </w:t>
      </w:r>
    </w:p>
    <w:p w14:paraId="2308CC4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F5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76227 Карлсруе, Німеччина.</w:t>
      </w:r>
      <w:bookmarkStart w:id="1" w:name="_GoBack"/>
      <w:bookmarkEnd w:id="1"/>
    </w:p>
    <w:p w14:paraId="2308CC4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C47" w14:textId="77777777" w:rsidR="00443D6E" w:rsidRPr="00443D6E" w:rsidRDefault="00443D6E" w:rsidP="00443D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48" w14:textId="77777777" w:rsidR="00D83FD9" w:rsidRDefault="00D83FD9"/>
    <w:sectPr w:rsidR="00D8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1B0"/>
    <w:multiLevelType w:val="hybridMultilevel"/>
    <w:tmpl w:val="D4DA2DF6"/>
    <w:lvl w:ilvl="0" w:tplc="56E629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F9"/>
    <w:rsid w:val="00277A4C"/>
    <w:rsid w:val="002D29F9"/>
    <w:rsid w:val="003E2606"/>
    <w:rsid w:val="00443D6E"/>
    <w:rsid w:val="00535161"/>
    <w:rsid w:val="00573B69"/>
    <w:rsid w:val="00946936"/>
    <w:rsid w:val="00D83FD9"/>
    <w:rsid w:val="00D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8CBDC"/>
  <w15:chartTrackingRefBased/>
  <w15:docId w15:val="{C7CD9941-BD52-4C3D-AABE-37CABEE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next w:val="a"/>
    <w:link w:val="30"/>
    <w:uiPriority w:val="9"/>
    <w:qFormat/>
    <w:rsid w:val="00443D6E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D6E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3">
    <w:name w:val="Hyperlink"/>
    <w:uiPriority w:val="99"/>
    <w:semiHidden/>
    <w:unhideWhenUsed/>
    <w:rsid w:val="00443D6E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44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ий текст (3)_"/>
    <w:link w:val="32"/>
    <w:locked/>
    <w:rsid w:val="00443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443D6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2">
    <w:name w:val="Основний текст (2)_"/>
    <w:link w:val="20"/>
    <w:locked/>
    <w:rsid w:val="00443D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43D6E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Основной текст_"/>
    <w:link w:val="1"/>
    <w:locked/>
    <w:rsid w:val="00443D6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43D6E"/>
    <w:pPr>
      <w:shd w:val="clear" w:color="auto" w:fill="FFFFFF"/>
      <w:spacing w:after="0" w:line="274" w:lineRule="exact"/>
      <w:ind w:hanging="900"/>
      <w:jc w:val="both"/>
    </w:pPr>
    <w:rPr>
      <w:sz w:val="23"/>
      <w:szCs w:val="23"/>
      <w:lang w:val="uk-UA"/>
    </w:rPr>
  </w:style>
  <w:style w:type="character" w:customStyle="1" w:styleId="21">
    <w:name w:val="Основной текст (2)_"/>
    <w:link w:val="22"/>
    <w:locked/>
    <w:rsid w:val="00443D6E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D6E"/>
    <w:pPr>
      <w:shd w:val="clear" w:color="auto" w:fill="FFFFFF"/>
      <w:spacing w:after="0" w:line="240" w:lineRule="exact"/>
      <w:jc w:val="center"/>
    </w:pPr>
    <w:rPr>
      <w:sz w:val="23"/>
      <w:szCs w:val="23"/>
      <w:lang w:val="uk-UA"/>
    </w:rPr>
  </w:style>
  <w:style w:type="character" w:customStyle="1" w:styleId="23">
    <w:name w:val="Основной текст + Полужирный2"/>
    <w:rsid w:val="00443D6E"/>
    <w:rPr>
      <w:b/>
      <w:bCs/>
      <w:sz w:val="23"/>
      <w:szCs w:val="23"/>
      <w:shd w:val="clear" w:color="auto" w:fill="FFFFFF"/>
      <w:lang w:bidi="ar-SA"/>
    </w:rPr>
  </w:style>
  <w:style w:type="character" w:customStyle="1" w:styleId="24">
    <w:name w:val="Основной текст (2) + Не полужирный"/>
    <w:rsid w:val="00443D6E"/>
    <w:rPr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rsid w:val="00443D6E"/>
    <w:rPr>
      <w:b/>
      <w:bCs/>
      <w:sz w:val="23"/>
      <w:szCs w:val="23"/>
      <w:shd w:val="clear" w:color="auto" w:fill="FFFFFF"/>
      <w:lang w:bidi="ar-SA"/>
    </w:rPr>
  </w:style>
  <w:style w:type="character" w:customStyle="1" w:styleId="apple-converted-space">
    <w:name w:val="apple-converted-space"/>
    <w:rsid w:val="0044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Laskava</dc:creator>
  <cp:keywords/>
  <dc:description/>
  <cp:lastModifiedBy>Olena Golovko</cp:lastModifiedBy>
  <cp:revision>8</cp:revision>
  <dcterms:created xsi:type="dcterms:W3CDTF">2020-12-22T17:28:00Z</dcterms:created>
  <dcterms:modified xsi:type="dcterms:W3CDTF">2025-02-26T09:56:00Z</dcterms:modified>
</cp:coreProperties>
</file>