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3289" w14:textId="77777777" w:rsidR="00792D53" w:rsidRPr="00792D53" w:rsidRDefault="00792D53" w:rsidP="00792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ІНСТРУКЦІЯ</w:t>
      </w:r>
    </w:p>
    <w:p w14:paraId="1E0FA11E" w14:textId="77777777" w:rsidR="00792D53" w:rsidRPr="00792D53" w:rsidRDefault="00792D53" w:rsidP="00792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медичного застосування лікарського засобу</w:t>
      </w:r>
    </w:p>
    <w:p w14:paraId="58A4AC3A" w14:textId="77777777" w:rsidR="00792D53" w:rsidRPr="00792D53" w:rsidRDefault="00792D53" w:rsidP="00792D53">
      <w:pPr>
        <w:keepNext/>
        <w:overflowPunct w:val="0"/>
        <w:autoSpaceDE w:val="0"/>
        <w:autoSpaceDN w:val="0"/>
        <w:adjustRightInd w:val="0"/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40700CFB" w14:textId="77777777" w:rsidR="00792D53" w:rsidRPr="00792D53" w:rsidRDefault="00792D53" w:rsidP="00792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БІОЛЕКТРА МАГНЕЗІУМ ФОРТЕ</w:t>
      </w:r>
    </w:p>
    <w:p w14:paraId="25AEBFD8" w14:textId="77777777" w:rsidR="00792D53" w:rsidRPr="00792D53" w:rsidRDefault="00792D53" w:rsidP="00792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(BIOLECTRA</w:t>
      </w:r>
      <w:r w:rsidRPr="00792D5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®</w:t>
      </w:r>
      <w:r w:rsidRPr="00792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MAGNESIUM FORTE)</w:t>
      </w:r>
    </w:p>
    <w:p w14:paraId="3C027FF6" w14:textId="77777777" w:rsidR="00792D53" w:rsidRPr="00792D53" w:rsidRDefault="00792D53" w:rsidP="00792D53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6F3C693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Склад:</w:t>
      </w:r>
    </w:p>
    <w:p w14:paraId="1115D6D0" w14:textId="77777777" w:rsidR="00792D53" w:rsidRPr="00792D53" w:rsidRDefault="00792D53" w:rsidP="00792D53">
      <w:pPr>
        <w:widowControl w:val="0"/>
        <w:shd w:val="clear" w:color="auto" w:fill="FFFFFF"/>
        <w:tabs>
          <w:tab w:val="left" w:leader="dot" w:pos="434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792D5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діюча речовина: </w:t>
      </w:r>
      <w:r w:rsidRPr="00792D53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магнію оксид легкий;</w:t>
      </w:r>
    </w:p>
    <w:p w14:paraId="0DDEA223" w14:textId="77777777" w:rsidR="00792D53" w:rsidRPr="00792D53" w:rsidRDefault="00792D53" w:rsidP="00792D53">
      <w:pPr>
        <w:widowControl w:val="0"/>
        <w:shd w:val="clear" w:color="auto" w:fill="FFFFFF"/>
        <w:tabs>
          <w:tab w:val="left" w:leader="dot" w:pos="4349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1 таблетка шипуча містить магнію оксиду легкого 403,0 – 435,2 мг, що відповідає іонів магнію 243 мг (10 ммоль);</w:t>
      </w:r>
    </w:p>
    <w:p w14:paraId="30FED183" w14:textId="77777777" w:rsidR="00792D53" w:rsidRPr="00792D53" w:rsidRDefault="00792D53" w:rsidP="0079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2D5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допоміжні речовини: </w:t>
      </w:r>
      <w:r w:rsidRPr="00792D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кислота лимонна безводна, натрію гідрокарбонат, натрію карбонат безводний, калію гідрокарбонат, кислота яблучна, 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uk-UA"/>
        </w:rPr>
        <w:t>маніт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(Е 421), крохмаль рисовий, </w:t>
      </w:r>
      <w:r w:rsidRPr="00792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ароматизатор лимонний «МН» (містить маніт (Е 421), сорбіт (Е 420))</w:t>
      </w:r>
      <w:r w:rsidRPr="00792D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натрію 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uk-UA"/>
        </w:rPr>
        <w:t>цикламат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натрію хлорид, сахарин натрію, 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uk-UA"/>
        </w:rPr>
        <w:t>симетикон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B85C4B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p w14:paraId="4DB96A95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Лікарська форма. </w:t>
      </w:r>
      <w:r w:rsidRPr="00792D53">
        <w:rPr>
          <w:rFonts w:ascii="Times New Roman" w:eastAsia="Times New Roman" w:hAnsi="Times New Roman" w:cs="Times New Roman"/>
          <w:sz w:val="24"/>
          <w:szCs w:val="24"/>
          <w:lang w:eastAsia="uk-UA"/>
        </w:rPr>
        <w:t>Таблетки шипучі.</w:t>
      </w:r>
    </w:p>
    <w:p w14:paraId="5D3ABEF4" w14:textId="77777777" w:rsidR="00792D53" w:rsidRPr="00792D53" w:rsidRDefault="00792D53" w:rsidP="00792D5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2D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Основні фізико-хімічні властивості: </w:t>
      </w:r>
      <w:r w:rsidRPr="00792D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круглі, від білого до білого з вкрапленнями кольору, 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uk-UA"/>
        </w:rPr>
        <w:t>плоскоциліндричні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таблетки з гладкою поверхнею без пошкоджень, з відтиском «</w:t>
      </w:r>
      <w:r w:rsidRPr="00792D5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HERMES</w:t>
      </w:r>
      <w:r w:rsidRPr="00792D53">
        <w:rPr>
          <w:rFonts w:ascii="Times New Roman" w:eastAsia="Times New Roman" w:hAnsi="Times New Roman" w:cs="Times New Roman"/>
          <w:sz w:val="24"/>
          <w:szCs w:val="24"/>
          <w:lang w:eastAsia="uk-UA"/>
        </w:rPr>
        <w:t>» з одного боку.</w:t>
      </w:r>
    </w:p>
    <w:p w14:paraId="31BC74E7" w14:textId="77777777" w:rsidR="00792D53" w:rsidRPr="00792D53" w:rsidRDefault="00792D53" w:rsidP="00792D5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5DD88BA" w14:textId="77777777" w:rsidR="00792D53" w:rsidRPr="00792D53" w:rsidRDefault="00792D53" w:rsidP="0079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2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Фармакотерапевтична</w:t>
      </w:r>
      <w:proofErr w:type="spellEnd"/>
      <w:r w:rsidRPr="00792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група.</w:t>
      </w:r>
    </w:p>
    <w:p w14:paraId="3ED313FF" w14:textId="77777777" w:rsidR="00792D53" w:rsidRPr="00792D53" w:rsidRDefault="00792D53" w:rsidP="0079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Мінеральні добавки. Інші мінеральні добавки. Препарати магнію. Магнію оксид. </w:t>
      </w:r>
    </w:p>
    <w:p w14:paraId="42B301F7" w14:textId="77777777" w:rsidR="00792D53" w:rsidRPr="00792D53" w:rsidRDefault="00792D53" w:rsidP="0079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АТХ А12С С10.</w:t>
      </w:r>
    </w:p>
    <w:p w14:paraId="685F42E2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995D65C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Фармакологічні властивості. </w:t>
      </w:r>
    </w:p>
    <w:p w14:paraId="744D3D5E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792D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Фармакодинаміка</w:t>
      </w:r>
      <w:proofErr w:type="spellEnd"/>
      <w:r w:rsidRPr="00792D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523836F5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D53">
        <w:rPr>
          <w:rFonts w:ascii="Times New Roman" w:eastAsia="Calibri" w:hAnsi="Times New Roman" w:cs="Times New Roman"/>
          <w:sz w:val="24"/>
          <w:szCs w:val="24"/>
          <w:lang w:eastAsia="ru-RU"/>
        </w:rPr>
        <w:t>Магній є важливим елементом для організму завдяки своїй центральній ролі в обміні речовин</w:t>
      </w: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Магній необхідний для забезпечення багатьох енергетичних процесів в організмі, бере участь в обміні білків, жирів, вуглеводів, нуклеїнових кислот та в процесі нервово-м’язового збудження.</w:t>
      </w:r>
    </w:p>
    <w:p w14:paraId="51A13FED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Численні функції генерування </w:t>
      </w:r>
      <w:r w:rsidRPr="00792D53">
        <w:rPr>
          <w:rFonts w:ascii="Times New Roman" w:eastAsia="Calibri" w:hAnsi="Times New Roman" w:cs="Times New Roman"/>
          <w:sz w:val="24"/>
          <w:szCs w:val="24"/>
          <w:lang w:eastAsia="ru-RU"/>
        </w:rPr>
        <w:t>(наприклад окисне фосфорилювання)</w:t>
      </w: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витрати енергії </w:t>
      </w:r>
      <w:r w:rsidRPr="00792D53">
        <w:rPr>
          <w:rFonts w:ascii="Times New Roman" w:eastAsia="Calibri" w:hAnsi="Times New Roman" w:cs="Times New Roman"/>
          <w:sz w:val="24"/>
          <w:szCs w:val="24"/>
          <w:lang w:eastAsia="ru-RU"/>
        </w:rPr>
        <w:t>(наприклад транспорт іонів, скорочення м’язів</w:t>
      </w: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92D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залежать від магнію та </w:t>
      </w: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його нестачі можуть частково або повністю порушуватися.</w:t>
      </w:r>
    </w:p>
    <w:p w14:paraId="321E48A8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5F5F5"/>
          <w:lang w:eastAsia="ru-RU"/>
        </w:rPr>
      </w:pP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Магній активує 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гліколітичні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ферменти, ферменти клітинного окиснення, ферменти синтезу нуклеїнових кислот, він також відіграє важливу роль у процесах скорочення міокарда, є стабілізатором фібриногену і тромбоцитів. Відомо, що дефіцит магнію є однією з причин розвитку артеріальної гіпертензії, спазму судин, 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неопластичних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захворювань і сечокам’яної хвороби. В стресових ситуаціях виводиться підвищена кількість вільного іонізованого магнію, тому додаткова кількість магнію сприяє підвищенню резистентності до стресу. Магній відіграє провідну роль у процесах нервово-м’язового збудження, виступаючи антагоністом іонів кальцію.</w:t>
      </w:r>
    </w:p>
    <w:p w14:paraId="4ED61B8A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 кількість магнію в організмі дорослої людини становить близько 20–</w:t>
      </w:r>
      <w:smartTag w:uri="urn:schemas-microsoft-com:office:smarttags" w:element="metricconverter">
        <w:smartTagPr>
          <w:attr w:name="ProductID" w:val="30 г"/>
        </w:smartTagPr>
        <w:r w:rsidRPr="00792D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</w:t>
        </w:r>
        <w:r w:rsidRPr="00792D5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</w:t>
        </w:r>
        <w:r w:rsidRPr="00792D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. З цієї кількості приблизно 50</w:t>
      </w:r>
      <w:r w:rsidRPr="00792D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% міститься у кістках, 45</w:t>
      </w:r>
      <w:r w:rsidRPr="00792D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% – у клітинах і лише 5</w:t>
      </w:r>
      <w:r w:rsidRPr="00792D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від загальної кількості можна виявити в сироватці крові. </w:t>
      </w:r>
    </w:p>
    <w:p w14:paraId="06EB540E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Внутрішньоклітинна концентрація магнію варіює в межах від 10 до 60 ммоль/л, показник норми щодо концентрації магнію в плазмі крові перебуває в межах від 0,7 до 1,1 ммоль/л. В плазмі крові приблизно 2/3 іонів магнію знаходяться в розчиненому вигляді і близько 1/3 зв’язується з протеїнами.</w:t>
      </w:r>
    </w:p>
    <w:p w14:paraId="0D04452D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92D5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Фармакокінетика.</w:t>
      </w:r>
    </w:p>
    <w:p w14:paraId="77DE89A4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</w:t>
      </w: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пероральному застосуванні магній всмоктується залежно від вихідного вмісту магнію в організмі. При дефіциті магнію в організмі його всмоктування збільшується, а при насиченні магнієм – зменшується. Умови абсорбції відповідають 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гомеостатично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регульованій кінетиці резорбції, що характерно для фізіологічно активних речовин.</w:t>
      </w:r>
    </w:p>
    <w:p w14:paraId="2F533E8F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рівноважному балансі магнію та нормальній функції нирок, навіть при високих дозах магнію, не відбувається накопичення магнію, що перевищує границю норми.</w:t>
      </w:r>
    </w:p>
    <w:p w14:paraId="2793AFAB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Після всмоктування в кишечнику виведення магнію головним чином здійснюється нирками. Незасвоєний магній виводиться разом з фекаліями.</w:t>
      </w:r>
    </w:p>
    <w:p w14:paraId="67C7040B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8F2FA6D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Клінічні характеристики.</w:t>
      </w:r>
    </w:p>
    <w:p w14:paraId="7C7E1F08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Показання.</w:t>
      </w: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796447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 дефіциту магнію в організмі у тих випадках, коли він є причиною порушень з боку м’язової діяльності (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нейром’язові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порушення, судоми).</w:t>
      </w:r>
    </w:p>
    <w:p w14:paraId="0508C0B4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BD562C0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Протипоказання.</w:t>
      </w: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3A43C9" w14:textId="77777777" w:rsidR="00792D53" w:rsidRPr="00792D53" w:rsidRDefault="00792D53" w:rsidP="0079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Підвищена чутливість до діючої речовини або інших компонентів лікарського засобу.</w:t>
      </w:r>
    </w:p>
    <w:p w14:paraId="4A4715F0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 функції нирок та порушеннях провідності збудження в серці (AV-блокада високого ступеня), які можуть призвести до брадикардії. Порушення мінерального та електролітного обміну (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гіпермагніємія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гіперкаліємія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4218091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Тяжка міастенія, 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ексикоз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кальцієво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-магнієво-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фосфато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-амонієвий діатез.</w:t>
      </w:r>
    </w:p>
    <w:p w14:paraId="344DEF20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CDB7E29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Взаємодія з іншими лікарськими засобами та інші види взаємодій.</w:t>
      </w:r>
      <w:r w:rsidRPr="00792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B83B512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Оскільки магній та інші лікарські засоби можуть мати взаємний вплив на засвоєння в організмі, як правило, слід дотримуватись інтервалів 2–3 години між прийомами різних лікарських засобів. Це стосується, зокрема, фтору та 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тетрациклінів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яких потрібно суворо дотримуватися інтервалу 2–3 години.</w:t>
      </w:r>
    </w:p>
    <w:p w14:paraId="06C66D00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одночасному прийомі з лікарськими засобами, що містять алюміній (наприклад антацидних засобів), всмоктування алюмінію може підвищитися.</w:t>
      </w:r>
    </w:p>
    <w:p w14:paraId="05505D6A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Аміноглікозидні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антибіотики, 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цисплатин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циклоспорин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прискорюють виведення магнію.</w:t>
      </w:r>
    </w:p>
    <w:p w14:paraId="771C58C3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Діуретики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(такі як 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тіазид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фуросемід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антагоністи рецепторів епідермального 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росту EGF (такі як 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цетуксимаб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ерлотиніб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інгібітори протонного насоса (такі як 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омепразол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пантопразол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 інгібітори ДНК-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полімерази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вірусів (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фоскарнет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пентамідин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рапаміцин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амфотерицин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можуть викликати дефіцит магнію. У зв’язку з підвищеним виведенням магнію пацієнтам, які приймають зазначені вище препарати, може бути потрібне коригування доз магнію. </w:t>
      </w:r>
    </w:p>
    <w:p w14:paraId="158625F5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66AD7E2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792D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Особливості застосування.</w:t>
      </w:r>
    </w:p>
    <w:p w14:paraId="5BE8D590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2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таблетка шипуча </w:t>
      </w: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</w:t>
      </w:r>
      <w:r w:rsidRPr="00792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7,35</w:t>
      </w: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2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ммоль (169</w:t>
      </w: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2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мг) натр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ію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 бути обережним при застосуванні пацієнтам, які дотримуються дієти з контрольованим вмістом натрію.</w:t>
      </w:r>
    </w:p>
    <w:p w14:paraId="0E55D4B3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1 таблетка шипуча містить 3,48 ммоль (136 мг) калію. Слід бути обережним при застосуванні пацієнтам зі зниженою функцією нирок або тим, хто дотримуються дієти з контрольованим вмістом калію.</w:t>
      </w:r>
    </w:p>
    <w:p w14:paraId="0DCD9346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у Вас встановлена непереносимість деяких цукрів, проконсультуйтесь з лікарем, перш ніж приймати цей лікарський засіб.</w:t>
      </w:r>
    </w:p>
    <w:p w14:paraId="22979968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uk-UA"/>
        </w:rPr>
      </w:pPr>
    </w:p>
    <w:p w14:paraId="2CE4EE5E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</w:pPr>
      <w:r w:rsidRPr="00792D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Застосування у період вагітності або годування груддю.</w:t>
      </w:r>
    </w:p>
    <w:p w14:paraId="65995FD7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2D53">
        <w:rPr>
          <w:rFonts w:ascii="Times New Roman" w:eastAsia="Times New Roman" w:hAnsi="Times New Roman" w:cs="Times New Roman"/>
          <w:sz w:val="24"/>
          <w:szCs w:val="24"/>
          <w:lang w:eastAsia="uk-UA"/>
        </w:rPr>
        <w:t>В період вагітності або годування груддю відсутні ризики застосування препарату. Застосування лікарського засобу у період годування груддю рекомендується після консультації з лікарем та за призначенням лікаря.</w:t>
      </w:r>
    </w:p>
    <w:p w14:paraId="47FEB730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uk-UA"/>
        </w:rPr>
      </w:pPr>
    </w:p>
    <w:p w14:paraId="11C67E7D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</w:pPr>
      <w:r w:rsidRPr="00792D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Здатність впливати на швидкість реакції при керуванні автотранспортом або іншими механізмами. </w:t>
      </w: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впливає.</w:t>
      </w:r>
    </w:p>
    <w:p w14:paraId="06EF30EB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14:paraId="213460FE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Спосіб застосування та дози.</w:t>
      </w: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79BDE5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Доза препарату «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Біолектра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Магнезіум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форте» залежить від ступеня дефіциту магнію в організмі. Середня добова доза становить 1–2 шипучі таблетки (243–486 мг іонів магнію = 10–20 ммоль).</w:t>
      </w:r>
    </w:p>
    <w:p w14:paraId="66770149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 віком від 6 років призначають по 1 шипучій таблетці 1 раз на день.</w:t>
      </w:r>
    </w:p>
    <w:p w14:paraId="7E793A89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Підліткам та дорослим призначають по 1 таблетці шипучій 1–2 рази на день.</w:t>
      </w:r>
    </w:p>
    <w:p w14:paraId="0BC7A4FD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тяжкому ступені дефіциту магнію під наглядом лікаря та за умови контролю електролітного обміну можуть бути призначені більш високі дози лікарського засобу.</w:t>
      </w:r>
    </w:p>
    <w:p w14:paraId="05114446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Таблетку необхідно розчинити в стакані води, отриманий розчин випити.</w:t>
      </w:r>
    </w:p>
    <w:p w14:paraId="0274D40D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Тривалість лікування залежить від причин, що лежать в основі дефіциту магнію.</w:t>
      </w:r>
    </w:p>
    <w:p w14:paraId="56F7A70D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Тривалий прийом магнію у високих дозах повинен проходити під наглядом лікаря.</w:t>
      </w:r>
    </w:p>
    <w:p w14:paraId="75D07DA1" w14:textId="77777777" w:rsidR="00792D53" w:rsidRPr="00792D53" w:rsidRDefault="00792D53" w:rsidP="00792D53">
      <w:pPr>
        <w:tabs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5A708D83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</w:pPr>
      <w:r w:rsidRPr="00792D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Діти.</w:t>
      </w:r>
    </w:p>
    <w:p w14:paraId="2AF1B687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Препарат не рекомендується застосовувати дітям віком до 6 років.</w:t>
      </w:r>
    </w:p>
    <w:p w14:paraId="15F42E04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396022E" w14:textId="77777777" w:rsidR="00792D53" w:rsidRPr="00792D53" w:rsidRDefault="00792D53" w:rsidP="00792D5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Передозування.</w:t>
      </w:r>
      <w:r w:rsidRPr="00792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CDE776D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пероральному застосуванні солей магнію 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гіпермагнезіємія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виникає лише при нирковій недостатності. Таким пацієнтам прийом солей магнію протипоказаний.</w:t>
      </w:r>
    </w:p>
    <w:p w14:paraId="3D986CD6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Симптоми інтоксикації</w:t>
      </w:r>
    </w:p>
    <w:p w14:paraId="1B941839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Високі концентрації магнію викликають розслаблення скелетної мускулатури (концентрації магнію в плазмі крові вище 5,5 ммоль/л). Концентрації іонів магнію 10–20 ммоль/л подовжують період провідності в серці, а ще більш високі концентрації призводять до зупинки серця в діастолі.</w:t>
      </w:r>
    </w:p>
    <w:p w14:paraId="1B720B51" w14:textId="77777777" w:rsidR="00792D53" w:rsidRPr="00792D53" w:rsidRDefault="00792D53" w:rsidP="00792D5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Лікування інтоксикацій</w:t>
      </w:r>
    </w:p>
    <w:p w14:paraId="0128D648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Внутрішньовенне введення кальцію миттєво призводить до пригнічення описаних симптомів, оскільки існує антагонізм між іонами кальцію і магнію.</w:t>
      </w:r>
    </w:p>
    <w:p w14:paraId="16B12FF2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6891BB4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Побічні реакції.</w:t>
      </w:r>
    </w:p>
    <w:p w14:paraId="74F87DA0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більш високих дозах можливе пом’якшення випорожнень, що не вважається небезпечним та зникає після зниження дози. При тривалому прийомі високих доз лікарського засобу може виникнути відчуття втоми. В такому випадку лікар повинен на основі клінічної картини та лабораторних досліджень прийняти рішення щодо доцільності подальшого застосування магнію.</w:t>
      </w:r>
    </w:p>
    <w:p w14:paraId="7BF85247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0796CA7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792D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Термін</w:t>
      </w:r>
      <w:proofErr w:type="spellEnd"/>
      <w:r w:rsidRPr="00792D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 xml:space="preserve"> </w:t>
      </w:r>
      <w:proofErr w:type="spellStart"/>
      <w:r w:rsidRPr="00792D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придатності</w:t>
      </w:r>
      <w:proofErr w:type="spellEnd"/>
      <w:r w:rsidRPr="00792D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.</w:t>
      </w:r>
      <w:r w:rsidRPr="00792D5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</w:p>
    <w:p w14:paraId="4D49E3B6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92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 роки.</w:t>
      </w:r>
    </w:p>
    <w:p w14:paraId="26B19AEE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6916B4A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 зберігання.</w:t>
      </w: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3CDACA9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Зберігати в оригінальній упаковці при температурі не вище 25 °С.</w:t>
      </w:r>
    </w:p>
    <w:p w14:paraId="54657A67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p w14:paraId="5415A54C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Упаковка.</w:t>
      </w: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733351" w14:textId="77777777" w:rsidR="00792D53" w:rsidRPr="00792D53" w:rsidRDefault="00792D53" w:rsidP="0079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sz w:val="24"/>
          <w:szCs w:val="24"/>
          <w:lang w:eastAsia="uk-UA"/>
        </w:rPr>
        <w:t>По 10 таблеток шипучих у тубі. По 1 тубі в</w:t>
      </w: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картон</w:t>
      </w: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ній коробці</w:t>
      </w:r>
      <w:r w:rsidRPr="00792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27849B0B" w14:textId="77777777" w:rsidR="00792D53" w:rsidRPr="00792D53" w:rsidRDefault="00792D53" w:rsidP="00792D53">
      <w:pPr>
        <w:tabs>
          <w:tab w:val="left" w:pos="-22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4 таблетки шипучі у 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стрипі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По 5 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стрипів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</w:t>
      </w: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картон</w:t>
      </w: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>ній коробці</w:t>
      </w:r>
      <w:r w:rsidRPr="00792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253CCF10" w14:textId="77777777" w:rsidR="00792D53" w:rsidRPr="00792D53" w:rsidRDefault="00792D53" w:rsidP="00792D53">
      <w:pPr>
        <w:tabs>
          <w:tab w:val="left" w:pos="-22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p w14:paraId="28E05907" w14:textId="77777777" w:rsidR="00792D53" w:rsidRPr="00792D53" w:rsidRDefault="00792D53" w:rsidP="00792D53">
      <w:pPr>
        <w:tabs>
          <w:tab w:val="left" w:pos="-22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Категорія відпуску.</w:t>
      </w:r>
    </w:p>
    <w:p w14:paraId="41C42E92" w14:textId="77777777" w:rsidR="00792D53" w:rsidRPr="00792D53" w:rsidRDefault="00792D53" w:rsidP="00792D53">
      <w:pPr>
        <w:tabs>
          <w:tab w:val="left" w:pos="-22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рецепта. </w:t>
      </w:r>
    </w:p>
    <w:p w14:paraId="1E3B6664" w14:textId="77777777" w:rsidR="00792D53" w:rsidRPr="00792D53" w:rsidRDefault="00792D53" w:rsidP="00792D5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p w14:paraId="67D3CB83" w14:textId="77777777" w:rsidR="00792D53" w:rsidRPr="00792D53" w:rsidRDefault="00792D53" w:rsidP="00792D5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2D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Виробник. </w:t>
      </w:r>
    </w:p>
    <w:p w14:paraId="433361D7" w14:textId="77777777" w:rsidR="00792D53" w:rsidRPr="00792D53" w:rsidRDefault="00792D53" w:rsidP="00792D5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92D5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Гермес 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de-DE"/>
        </w:rPr>
        <w:t>Фарма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de-DE"/>
        </w:rPr>
        <w:t>ГмбХ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</w:p>
    <w:p w14:paraId="253D5B9C" w14:textId="77777777" w:rsidR="00792D53" w:rsidRPr="00792D53" w:rsidRDefault="00792D53" w:rsidP="00792D5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de-DE"/>
        </w:rPr>
        <w:t>Hermes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792D5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Pharma</w:t>
      </w:r>
      <w:r w:rsidRPr="00792D5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de-DE"/>
        </w:rPr>
        <w:t>GmbH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3DF035BB" w14:textId="77777777" w:rsidR="00792D53" w:rsidRPr="00792D53" w:rsidRDefault="00792D53" w:rsidP="00792D5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14:paraId="434A1A67" w14:textId="77777777" w:rsidR="00792D53" w:rsidRPr="00792D53" w:rsidRDefault="00792D53" w:rsidP="00792D5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92D5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Місцезнаходження виробника та адреса місця провадження його діяльності. </w:t>
      </w:r>
    </w:p>
    <w:p w14:paraId="0CE3C899" w14:textId="77777777" w:rsidR="00792D53" w:rsidRPr="00792D53" w:rsidRDefault="00792D53" w:rsidP="00792D5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92D53">
        <w:rPr>
          <w:rFonts w:ascii="Times New Roman" w:eastAsia="Times New Roman" w:hAnsi="Times New Roman" w:cs="Times New Roman"/>
          <w:sz w:val="24"/>
          <w:szCs w:val="24"/>
          <w:lang w:eastAsia="de-DE"/>
        </w:rPr>
        <w:t>Ганс-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de-DE"/>
        </w:rPr>
        <w:t>Урміллер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de-DE"/>
        </w:rPr>
        <w:t>Рінг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52, 82515 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de-DE"/>
        </w:rPr>
        <w:t>Вольфратсхаузен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de-DE"/>
        </w:rPr>
        <w:t>, Німеччина/</w:t>
      </w:r>
    </w:p>
    <w:p w14:paraId="19934DA2" w14:textId="77777777" w:rsidR="00792D53" w:rsidRPr="00792D53" w:rsidRDefault="00792D53" w:rsidP="00792D5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de-DE"/>
        </w:rPr>
        <w:t>Hans-Urmiller-Ring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52, 82515 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de-DE"/>
        </w:rPr>
        <w:t>Wolfratshausen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792D53">
        <w:rPr>
          <w:rFonts w:ascii="Times New Roman" w:eastAsia="Times New Roman" w:hAnsi="Times New Roman" w:cs="Times New Roman"/>
          <w:sz w:val="24"/>
          <w:szCs w:val="24"/>
          <w:lang w:eastAsia="de-DE"/>
        </w:rPr>
        <w:t>Germany</w:t>
      </w:r>
      <w:proofErr w:type="spellEnd"/>
      <w:r w:rsidRPr="00792D5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4315EE3B" w14:textId="77777777" w:rsidR="00C5608A" w:rsidRDefault="00C5608A"/>
    <w:sectPr w:rsidR="00C560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D53"/>
    <w:rsid w:val="00792D53"/>
    <w:rsid w:val="00C5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A82097"/>
  <w15:chartTrackingRefBased/>
  <w15:docId w15:val="{89B3F475-0133-4220-9AE5-E92F96DC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792D53"/>
    <w:pPr>
      <w:keepNext/>
      <w:overflowPunct w:val="0"/>
      <w:autoSpaceDE w:val="0"/>
      <w:autoSpaceDN w:val="0"/>
      <w:adjustRightInd w:val="0"/>
      <w:spacing w:after="0" w:line="240" w:lineRule="exact"/>
      <w:outlineLvl w:val="3"/>
    </w:pPr>
    <w:rPr>
      <w:rFonts w:ascii="Arial" w:eastAsia="Times New Roman" w:hAnsi="Arial" w:cs="Arial"/>
      <w:b/>
      <w:bCs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2D53"/>
    <w:rPr>
      <w:rFonts w:ascii="Arial" w:eastAsia="Times New Roman" w:hAnsi="Arial" w:cs="Arial"/>
      <w:b/>
      <w:bCs/>
      <w:sz w:val="24"/>
      <w:szCs w:val="20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792D5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val="de-DE"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92D53"/>
    <w:rPr>
      <w:rFonts w:ascii="Arial" w:eastAsia="Times New Roman" w:hAnsi="Arial" w:cs="Times New Roman"/>
      <w:szCs w:val="20"/>
      <w:lang w:val="de-DE" w:eastAsia="ru-RU"/>
    </w:rPr>
  </w:style>
  <w:style w:type="paragraph" w:styleId="3">
    <w:name w:val="Body Text 3"/>
    <w:basedOn w:val="a"/>
    <w:link w:val="30"/>
    <w:uiPriority w:val="99"/>
    <w:semiHidden/>
    <w:unhideWhenUsed/>
    <w:rsid w:val="00792D53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2D53"/>
    <w:rPr>
      <w:rFonts w:ascii="Arial" w:eastAsia="Times New Roman" w:hAnsi="Arial" w:cs="Times New Roman"/>
      <w:szCs w:val="20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92D53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2D53"/>
    <w:rPr>
      <w:rFonts w:ascii="Arial" w:eastAsia="Times New Roman" w:hAnsi="Arial" w:cs="Times New Roman"/>
      <w:sz w:val="24"/>
      <w:szCs w:val="20"/>
      <w:lang w:val="ru-RU" w:eastAsia="ru-RU"/>
    </w:rPr>
  </w:style>
  <w:style w:type="paragraph" w:customStyle="1" w:styleId="Text">
    <w:name w:val="Text"/>
    <w:basedOn w:val="a"/>
    <w:rsid w:val="00792D53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5131</Words>
  <Characters>2925</Characters>
  <Application>Microsoft Office Word</Application>
  <DocSecurity>0</DocSecurity>
  <Lines>24</Lines>
  <Paragraphs>16</Paragraphs>
  <ScaleCrop>false</ScaleCrop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 Samsonova</dc:creator>
  <cp:keywords/>
  <dc:description/>
  <cp:lastModifiedBy>Viktoriia Samsonova</cp:lastModifiedBy>
  <cp:revision>1</cp:revision>
  <dcterms:created xsi:type="dcterms:W3CDTF">2023-02-01T11:45:00Z</dcterms:created>
  <dcterms:modified xsi:type="dcterms:W3CDTF">2023-02-01T11:45:00Z</dcterms:modified>
</cp:coreProperties>
</file>