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385DC" w14:textId="77777777" w:rsidR="0096109C" w:rsidRPr="0096109C" w:rsidRDefault="0096109C" w:rsidP="009610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ІНСТРУКЦІЯ</w:t>
      </w:r>
    </w:p>
    <w:p w14:paraId="63933651" w14:textId="77777777" w:rsidR="0096109C" w:rsidRPr="0096109C" w:rsidRDefault="0096109C" w:rsidP="00961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для медичного застосування лікарського засобу</w:t>
      </w:r>
    </w:p>
    <w:p w14:paraId="2197A2C3" w14:textId="77777777" w:rsidR="0096109C" w:rsidRPr="0096109C" w:rsidRDefault="0096109C" w:rsidP="00961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</w:p>
    <w:p w14:paraId="514BC471" w14:textId="77777777" w:rsidR="0096109C" w:rsidRPr="0096109C" w:rsidRDefault="0096109C" w:rsidP="00961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ДІСТРЕПТАЗА </w:t>
      </w:r>
      <w:proofErr w:type="spellStart"/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Дістрепт</w:t>
      </w:r>
      <w:proofErr w:type="spellEnd"/>
    </w:p>
    <w:p w14:paraId="62BC0654" w14:textId="77777777" w:rsidR="0096109C" w:rsidRPr="0096109C" w:rsidRDefault="0096109C" w:rsidP="00961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(DISTREPTAZA</w:t>
      </w: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uk-UA"/>
        </w:rPr>
        <w:t>®</w:t>
      </w: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  <w:proofErr w:type="spellStart"/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Distrept</w:t>
      </w:r>
      <w:proofErr w:type="spellEnd"/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)</w:t>
      </w:r>
    </w:p>
    <w:p w14:paraId="624BB834" w14:textId="77777777" w:rsidR="0096109C" w:rsidRPr="0096109C" w:rsidRDefault="0096109C" w:rsidP="00961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</w:p>
    <w:p w14:paraId="0DE68E1E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Склад:</w:t>
      </w:r>
    </w:p>
    <w:p w14:paraId="60E6C59A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діючі речовини: </w:t>
      </w: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супозиторій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містить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стрептокінази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15 000 МО,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стрептодорнази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1250 МО;</w:t>
      </w:r>
    </w:p>
    <w:p w14:paraId="10378156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допоміжні речовини: </w:t>
      </w: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олія мінеральна, твердий жир.</w:t>
      </w:r>
    </w:p>
    <w:p w14:paraId="3C69724B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 </w:t>
      </w:r>
    </w:p>
    <w:p w14:paraId="34528DF9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Лікарська форма. 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Супозиторії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ректальні.</w:t>
      </w:r>
    </w:p>
    <w:p w14:paraId="5E1D646B" w14:textId="77777777" w:rsidR="0096109C" w:rsidRPr="0096109C" w:rsidRDefault="0096109C" w:rsidP="0096109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Основні фізико-хімічні властивості:</w:t>
      </w: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форма конусів чи «торпед» із загостреним кінцем; без механічних пошкоджень з забарвленням від білого до кремового кольору.</w:t>
      </w:r>
    </w:p>
    <w:p w14:paraId="28A24A58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</w:p>
    <w:p w14:paraId="750AD3E7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Фармакотерапевтична</w:t>
      </w:r>
      <w:proofErr w:type="spellEnd"/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група.</w:t>
      </w:r>
    </w:p>
    <w:p w14:paraId="3B703F20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Антитромботичні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засоби. Ферменти. Код АТХ В01А D.</w:t>
      </w:r>
    </w:p>
    <w:p w14:paraId="5C32925A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 </w:t>
      </w:r>
    </w:p>
    <w:p w14:paraId="1B257DD5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Фармакологічні властивості.</w:t>
      </w:r>
    </w:p>
    <w:p w14:paraId="085926E1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Фармакодинаміка</w:t>
      </w:r>
      <w:proofErr w:type="spellEnd"/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.</w:t>
      </w:r>
    </w:p>
    <w:p w14:paraId="5F3538B0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ДІСТРЕПТАЗА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Дістрепт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– комбінований препарат, який містить дві активні субстанції –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стрептокіназу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стрептодорназу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Стрептокіназа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є активатором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проензиму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плазміногену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міститься у крові людини і під впливом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стрептокінази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перетворюється у плазмін, який має властивість розчиняти згустки крові.</w:t>
      </w:r>
    </w:p>
    <w:p w14:paraId="17CCA58F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Стрептодорназа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є ензимом, який має здатність розчиняти скупчення нуклеопротеїдів, мертвих клітин або гною, не впливаючи при цьому на живі клітини і їхні фізіологічні функції.</w:t>
      </w:r>
    </w:p>
    <w:p w14:paraId="20F82ED3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 полегшує доступ антибіотиків або хіміотерапевтичних засобів до вогнища запалення.</w:t>
      </w:r>
    </w:p>
    <w:p w14:paraId="6C292041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Фармакокінетика.</w:t>
      </w:r>
    </w:p>
    <w:p w14:paraId="00C74205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вивчалася.</w:t>
      </w:r>
    </w:p>
    <w:p w14:paraId="773C7C93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</w:p>
    <w:p w14:paraId="66840D89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Клінічні характеристики.</w:t>
      </w:r>
    </w:p>
    <w:p w14:paraId="730828FE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Показання.</w:t>
      </w:r>
    </w:p>
    <w:p w14:paraId="1B198B84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Лікування хронічних запальних процесів маткових придатків, післяопераційних інфільтративних уражень органів малого таза,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ендометритів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геморою при гострому та хронічному перебігу,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параректальних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абсцесів і свищів з великим запальним інфільтратом, гнійних каудальних кіст.</w:t>
      </w:r>
    </w:p>
    <w:p w14:paraId="3E0A0884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1F58752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Протипоказання.</w:t>
      </w:r>
    </w:p>
    <w:p w14:paraId="635526AF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Лікарський засіб не слід застосовувати:</w:t>
      </w:r>
    </w:p>
    <w:p w14:paraId="54B9F5DE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у разі надчутливості до активних або допоміжних речовин, що входять до складу лікарського засобу;</w:t>
      </w:r>
    </w:p>
    <w:p w14:paraId="7D1A2DDF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якщо пацієнт має рани, що вкриті свіжим струпом, або хірургічні шви в ділянці введення: лікарський засіб не повинен стикатися зі свіжою раною, що вкрита струпом, або із нещодавно накладеним швом, оскільки це може призвести до послаблення швів і подальшої кровотечі з рани;</w:t>
      </w:r>
    </w:p>
    <w:p w14:paraId="705EB740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- після кровотеч впродовж приблизно10 днів, оскільки це може викликати повторну кровотечу;</w:t>
      </w:r>
    </w:p>
    <w:p w14:paraId="7CA8FA2C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з лікарськими засобами, що містять солі кальцію;</w:t>
      </w:r>
    </w:p>
    <w:p w14:paraId="799267C9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при бешиховому запаленні;</w:t>
      </w:r>
    </w:p>
    <w:p w14:paraId="00A48954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пацієнтам з пониженим рівнем зсідання крові;</w:t>
      </w:r>
    </w:p>
    <w:p w14:paraId="43350001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з антикоагулянтами (засобами, що знижують рівень зсідання крові) через збільшення ризику появи місцевої кровотечі.</w:t>
      </w:r>
    </w:p>
    <w:p w14:paraId="634E11CF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 </w:t>
      </w:r>
    </w:p>
    <w:p w14:paraId="450E29A3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Взаємодія з іншими лікарськими засобами та інші види взаємодій.</w:t>
      </w:r>
    </w:p>
    <w:p w14:paraId="4B601A38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Посилює проникнення антибіотиків, хіміотерапевтичних препаратів у вогнище запалення. Протипоказано застосовувати з антикоагулянтами, оскільки можливі кровотечі у місці введення.</w:t>
      </w:r>
    </w:p>
    <w:p w14:paraId="40DAC58A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 </w:t>
      </w:r>
    </w:p>
    <w:p w14:paraId="23D907E4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Особливості застосування. </w:t>
      </w: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Застосовувати тільки за призначенням лікаря. Препарат може спричинити місцеве подразнення. Перед і після застосування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супозиторіїв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слід ретельно вимити руки.</w:t>
      </w:r>
    </w:p>
    <w:p w14:paraId="5810779D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 </w:t>
      </w:r>
    </w:p>
    <w:p w14:paraId="0AC9AE4F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Застосування у період вагітності або годування груддю.</w:t>
      </w:r>
    </w:p>
    <w:p w14:paraId="7630D23B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застосовувати.</w:t>
      </w:r>
    </w:p>
    <w:p w14:paraId="49FE10DA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 </w:t>
      </w:r>
    </w:p>
    <w:p w14:paraId="32D958EF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Здатність впливати на швидкість реакції при керуванні автотранспортом або іншими механізмами.</w:t>
      </w:r>
    </w:p>
    <w:p w14:paraId="57358537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впливає.</w:t>
      </w:r>
    </w:p>
    <w:p w14:paraId="3B447841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4CC63752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Спосіб застосування та дози.</w:t>
      </w:r>
    </w:p>
    <w:p w14:paraId="6B45193B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Дорослі</w:t>
      </w:r>
    </w:p>
    <w:p w14:paraId="54E5E178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Вийняти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супозиторій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із формочки блістера і ввести глибоко у пряму кишку.</w:t>
      </w:r>
    </w:p>
    <w:p w14:paraId="1207AE4F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Дозування залежить від перебігу та інтенсивності запального процесу.</w:t>
      </w:r>
    </w:p>
    <w:p w14:paraId="4BB6CDE3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При тяжкому перебігу захворювання у дорослих:</w:t>
      </w:r>
    </w:p>
    <w:p w14:paraId="3F05585A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– по 1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супозиторію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3 рази на добу протягом перших 3 днів;</w:t>
      </w:r>
    </w:p>
    <w:p w14:paraId="4B1B5B32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– по 1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супозиторію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 рази на добу протягом наступних 3 днів;</w:t>
      </w:r>
    </w:p>
    <w:p w14:paraId="73867995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– по 1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супозиторію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1 раз на добу протягом ще 3 наступних днів.</w:t>
      </w:r>
    </w:p>
    <w:p w14:paraId="08F342F7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середньотяжкому</w:t>
      </w:r>
      <w:proofErr w:type="spellEnd"/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та легкому перебігу захворювання у дорослих:</w:t>
      </w:r>
    </w:p>
    <w:p w14:paraId="775CBEB1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– по 1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супозиторію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 рази на добу протягом перших 3 днів;</w:t>
      </w:r>
    </w:p>
    <w:p w14:paraId="3C0C78A6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– по 1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супозиторію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1 раз на добу протягом наступних 4 днів,</w:t>
      </w:r>
    </w:p>
    <w:p w14:paraId="457D44F5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або</w:t>
      </w:r>
    </w:p>
    <w:p w14:paraId="71CB3DDF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– по 1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супозиторію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 рази на добу протягом 2 днів.</w:t>
      </w:r>
    </w:p>
    <w:p w14:paraId="1D11902C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Курс лікування – у середньому 8–18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супозиторіїв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45D49AB6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Тривалість лікування – у середньому 7–10 днів.</w:t>
      </w:r>
    </w:p>
    <w:p w14:paraId="084010D6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 </w:t>
      </w:r>
    </w:p>
    <w:p w14:paraId="1CD2979E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Пацієнти літнього віку</w:t>
      </w:r>
    </w:p>
    <w:p w14:paraId="560F52E0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Немає інформації щодо необхідності зміни дозування у пацієнтів віком понад 65 років.</w:t>
      </w:r>
    </w:p>
    <w:p w14:paraId="24EB4A59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Порушення функції печінки</w:t>
      </w:r>
    </w:p>
    <w:p w14:paraId="718FEC2E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Препарат застосовується у вигляді ректальних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супозиторіїв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метаболізується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печінці, тому немає необхідності змінювати дозування пацієнтам з печінковою недостатністю.</w:t>
      </w:r>
    </w:p>
    <w:p w14:paraId="3964953A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Порушення функції нирок</w:t>
      </w:r>
    </w:p>
    <w:p w14:paraId="62BD96ED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Немає інформації про необхідність модифікації дозування для пацієнтів з нирковою недостатністю.</w:t>
      </w:r>
    </w:p>
    <w:p w14:paraId="1E53FF88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 </w:t>
      </w:r>
    </w:p>
    <w:p w14:paraId="177EBA6F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Діти</w:t>
      </w:r>
    </w:p>
    <w:p w14:paraId="73C2E660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застосовувати.</w:t>
      </w:r>
    </w:p>
    <w:p w14:paraId="170CD79B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 </w:t>
      </w:r>
    </w:p>
    <w:p w14:paraId="62B809FB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Передозування.</w:t>
      </w:r>
    </w:p>
    <w:p w14:paraId="4963D69F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Симптоми передозування невідомі. Можливе посилення проявів побічних реакцій. Лікування симптоматичне.</w:t>
      </w:r>
    </w:p>
    <w:p w14:paraId="162D75F2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</w:p>
    <w:p w14:paraId="691272C5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Побічні реакції.</w:t>
      </w:r>
    </w:p>
    <w:p w14:paraId="03C9CFB4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Рідко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(від ≥ 1/10 000 до &lt; 1/1000) можуть спостерігатися алергічні реакції, підвищення температури тіла, схильність до кровотеч. Можливі зміни у місці введення, включаючи подразнення, біль, набряк.</w:t>
      </w:r>
    </w:p>
    <w:p w14:paraId="7031E196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44A83659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Термін придатності. </w:t>
      </w: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роки.</w:t>
      </w:r>
    </w:p>
    <w:p w14:paraId="0439BBBE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5E41F79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Умови зберігання.</w:t>
      </w:r>
    </w:p>
    <w:p w14:paraId="0B982852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Зберігати при температурі від 2 до 8 </w:t>
      </w:r>
      <w:r w:rsidRPr="0096109C">
        <w:rPr>
          <w:rFonts w:ascii="Symbol" w:eastAsia="Times New Roman" w:hAnsi="Symbol" w:cs="Times New Roman"/>
          <w:color w:val="000000"/>
          <w:sz w:val="27"/>
          <w:szCs w:val="27"/>
          <w:lang w:eastAsia="uk-UA"/>
        </w:rPr>
        <w:t>°</w:t>
      </w: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С. Не заморожувати. Зберігати в недоступному для дітей місці.</w:t>
      </w:r>
    </w:p>
    <w:p w14:paraId="674F9094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26A5FD8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Упаковка. </w:t>
      </w: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 6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супозиторіїв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блістері; по 1 блістеру в картонній коробці.</w:t>
      </w:r>
    </w:p>
    <w:p w14:paraId="75EBD8C0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3E7448B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Категорія відпуску. </w:t>
      </w: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рецептом.</w:t>
      </w:r>
    </w:p>
    <w:p w14:paraId="0A3D8003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4649BC6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Виробник.</w:t>
      </w:r>
    </w:p>
    <w:p w14:paraId="52B8ECF8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«БІОМЕД-ЛЮБЛІН»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Витвурня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Суровіц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Щепйонек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Спулка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Акцийна</w:t>
      </w:r>
      <w:proofErr w:type="spellEnd"/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1B67D19E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8E166F9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Місцезнаходження виробника та адреса місця провадження його діяльності.</w:t>
      </w:r>
    </w:p>
    <w:p w14:paraId="7A3850B8" w14:textId="77777777" w:rsidR="0096109C" w:rsidRPr="0096109C" w:rsidRDefault="0096109C" w:rsidP="0096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610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вул. Університетська, 10, 20-029 Люблін, Польща.</w:t>
      </w:r>
    </w:p>
    <w:p w14:paraId="5D7DA332" w14:textId="77777777" w:rsidR="00EE6B68" w:rsidRDefault="00EE6B68"/>
    <w:sectPr w:rsidR="00EE6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9C"/>
    <w:rsid w:val="0096109C"/>
    <w:rsid w:val="00E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640C"/>
  <w15:chartTrackingRefBased/>
  <w15:docId w15:val="{11047FBA-D9EF-44F4-8FD6-EDA9CB35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3088</Words>
  <Characters>1761</Characters>
  <Application>Microsoft Office Word</Application>
  <DocSecurity>0</DocSecurity>
  <Lines>14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Samsonova</dc:creator>
  <cp:keywords/>
  <dc:description/>
  <cp:lastModifiedBy>Viktoriia Samsonova</cp:lastModifiedBy>
  <cp:revision>1</cp:revision>
  <dcterms:created xsi:type="dcterms:W3CDTF">2024-03-11T08:10:00Z</dcterms:created>
  <dcterms:modified xsi:type="dcterms:W3CDTF">2024-03-11T08:11:00Z</dcterms:modified>
</cp:coreProperties>
</file>