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A4B0" w14:textId="77777777" w:rsidR="0054730F" w:rsidRPr="0054730F" w:rsidRDefault="0054730F" w:rsidP="005473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ІНСТРУКЦІЯ</w:t>
      </w:r>
    </w:p>
    <w:p w14:paraId="7733B918" w14:textId="77777777" w:rsidR="0054730F" w:rsidRPr="0054730F" w:rsidRDefault="0054730F" w:rsidP="005473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для медичного застосування лікарського засобу</w:t>
      </w:r>
    </w:p>
    <w:p w14:paraId="1650C0A9" w14:textId="77777777" w:rsidR="0054730F" w:rsidRPr="0054730F" w:rsidRDefault="0054730F" w:rsidP="005473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32FBDF73" w14:textId="77777777" w:rsidR="0054730F" w:rsidRPr="0054730F" w:rsidRDefault="0054730F" w:rsidP="005473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БІОЛЕКТРА МАГНЕЗІУМ ФОРТІССІМУМ</w:t>
      </w:r>
    </w:p>
    <w:p w14:paraId="03B80045" w14:textId="77777777" w:rsidR="0054730F" w:rsidRPr="0054730F" w:rsidRDefault="0054730F" w:rsidP="005473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(BIOLECTRA</w:t>
      </w:r>
      <w:r w:rsidRPr="0054730F">
        <w:rPr>
          <w:rFonts w:ascii="Calibri" w:eastAsia="Calibri" w:hAnsi="Calibri" w:cs="Calibri"/>
          <w:b/>
          <w:bCs/>
          <w:sz w:val="24"/>
          <w:szCs w:val="24"/>
          <w:lang w:eastAsia="ru-RU"/>
        </w:rPr>
        <w:t>®</w:t>
      </w: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MAGNESIUM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FORTISSIMUM)</w:t>
      </w:r>
    </w:p>
    <w:p w14:paraId="44EF011A" w14:textId="77777777" w:rsidR="0054730F" w:rsidRPr="0054730F" w:rsidRDefault="0054730F" w:rsidP="0054730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200A1877" w14:textId="77777777" w:rsidR="0054730F" w:rsidRPr="0054730F" w:rsidRDefault="0054730F" w:rsidP="0054730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Склад:</w:t>
      </w:r>
    </w:p>
    <w:p w14:paraId="3E5954C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діючі речовини: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магнію оксид легкий та магнію карбонат легкий;</w:t>
      </w:r>
    </w:p>
    <w:p w14:paraId="04168EC5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1 таблетка шипуча містить магнію оксиду легкого 342 мг та магнію карбонату легкого 670 мг, що відповідає іонам магнію 365 мг (15 ммоль);</w:t>
      </w:r>
    </w:p>
    <w:p w14:paraId="706FD6AF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4730F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допоміжні речовини:</w:t>
      </w: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47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кислота лимонна безводна, натрію гідрокарбонат, натрію карбонат безводний, калію гідрокарбонат,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сахарин натрію, натрію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цикламат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натрію хлорид, </w:t>
      </w:r>
      <w:r w:rsidRPr="00547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ароматизатор лимонний «МН» (містить маніт (Е 421), сорбіт (Е 420)), ароматизатор лаймовий «МGK» (містить маніт (Е 421), сорбіт (Е 420)).</w:t>
      </w:r>
    </w:p>
    <w:p w14:paraId="0D8BDD7B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49BC6C5C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Лікарська форма.</w:t>
      </w: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Таблетки шипучі.</w:t>
      </w:r>
    </w:p>
    <w:p w14:paraId="5C95D37F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Основні фізико-хімічні властивості:</w:t>
      </w: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круглі, білі,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>плоскоциліндричні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таблетки з гладкою поверхнею без ушкоджень, з відтиском «HERMES» з одного боку.</w:t>
      </w:r>
    </w:p>
    <w:p w14:paraId="7ADF9350" w14:textId="77777777" w:rsidR="0054730F" w:rsidRPr="0054730F" w:rsidRDefault="0054730F" w:rsidP="0054730F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6E235EA5" w14:textId="77777777" w:rsidR="0054730F" w:rsidRPr="0054730F" w:rsidRDefault="0054730F" w:rsidP="0054730F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Фармакотерапевтична</w:t>
      </w:r>
      <w:proofErr w:type="spellEnd"/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група.</w:t>
      </w: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14:paraId="5DF2C013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Мінеральні добавки. Інші мінеральні добавки. Препарати магнію. Комбінації різних солей магнію. Код АТХ А12С С30.</w:t>
      </w:r>
    </w:p>
    <w:p w14:paraId="44BF748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FE6B196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Фармакологічні властивості.</w:t>
      </w:r>
    </w:p>
    <w:p w14:paraId="5037D76E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spellStart"/>
      <w:r w:rsidRPr="005473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Фармакодинаміка</w:t>
      </w:r>
      <w:proofErr w:type="spellEnd"/>
      <w:r w:rsidRPr="005473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09506E42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Магній є важливим елементом для організму завдяки своїй центральній ролі в обміні речовин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Магній необхідний для забезпечення багатьох енергетичних процесів в організмі, бере участь в обміні білків, жирів, вуглеводів, нуклеїнових кислот та в процесі нервово-м’язового збудження.</w:t>
      </w:r>
    </w:p>
    <w:p w14:paraId="6DA27E8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Численні функції генерування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(наприклад окисне фосфорилювання)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витрати енергії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(наприклад транспорт іонів, скорочення м’язів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залежать від магнію та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його нестачі можуть частково або повністю порушуватися.</w:t>
      </w:r>
    </w:p>
    <w:p w14:paraId="0DDD668D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Магній активує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гліколітичні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ферменти, ферменти клітинного окиснення, ферменти синтезу нуклеїнових кислот, він також відіграє важливу роль у процесах скорочення міокарда, є стабілізатором фібриногену і тромбоцитів. Відомо, що дефіцит магнію є однією з причин розвитку артеріальної гіпертензії, спазму судин,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неопластичних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захворювань і сечокам’яної хвороби. В стресових ситуаціях виводиться підвищена кількість вільного іонізованого магнію, тому додаткова кількість магнію сприяє підвищенню резистентності до стресу. Магній відіграє провідну роль у процесах нервово-м’язового збудження, виступаючи антагоністом іонів кальцію.</w:t>
      </w:r>
    </w:p>
    <w:p w14:paraId="01B3F0C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магнію в організмі дорослої людини становить близько 20–</w:t>
      </w:r>
      <w:smartTag w:uri="urn:schemas-microsoft-com:office:smarttags" w:element="metricconverter">
        <w:smartTagPr>
          <w:attr w:name="ProductID" w:val="30 г"/>
        </w:smartTagPr>
        <w:r w:rsidRPr="005473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</w:t>
        </w:r>
        <w:r w:rsidRPr="0054730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5473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 цієї кількості приблизно 50</w:t>
      </w:r>
      <w:r w:rsidRPr="00547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% міститься у кістках, 45</w:t>
      </w:r>
      <w:r w:rsidRPr="00547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% – у клітинах і лише 5</w:t>
      </w:r>
      <w:r w:rsidRPr="00547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можна виявити в сироватці крові. </w:t>
      </w:r>
    </w:p>
    <w:p w14:paraId="6F292662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Внутрішньоклітинна концентрація магнію варіює в межах від 10 до 60 ммоль/л, нормальне значення концентрації магнію в плазмі крові перебуває в межах від 0,7 до 1,1 ммоль/л. В плазмі крові приблизно 2/3 іонів магнію знаходяться в розчиненому вигляді і близько 1/3 зв’язується з протеїнами.</w:t>
      </w:r>
    </w:p>
    <w:p w14:paraId="18B275DE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Фармакокінетика.</w:t>
      </w:r>
    </w:p>
    <w:p w14:paraId="11607E39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пероральному застосуванні магній всмоктується залежно від вихідного вмісту магнію в організмі. При дефіциті магнію в організмі його всмоктується більше, а при насиченні магнієм – менше. Співвідношення абсорбції відповідає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гомеостатично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регульованій кінетиці резорбції, що характерно для фізіологічно активних речовин.</w:t>
      </w:r>
    </w:p>
    <w:p w14:paraId="3DD70981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При рівноважному балансі магнію та нормальній функції нирок, навіть при високих дозах магнію, не відбувається накопичення магнію понад норму.</w:t>
      </w:r>
    </w:p>
    <w:p w14:paraId="7D94678F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Після всмоктування в кишечнику виведення магнію головним чином здійснюється нирками. Незасвоєний магній виводиться з фекаліями.</w:t>
      </w:r>
    </w:p>
    <w:p w14:paraId="4155E703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178C46EB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Клінічні характеристики.</w:t>
      </w:r>
    </w:p>
    <w:p w14:paraId="7B895D44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Показання.</w:t>
      </w:r>
    </w:p>
    <w:p w14:paraId="5FCBE6DF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Лікування дефіциту магнію в організмі у тих випадках, коли він є причиною порушень з боку м’язової діяльності (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нейром’язові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порушення, судоми).</w:t>
      </w:r>
    </w:p>
    <w:p w14:paraId="2C64EBE1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36B9DBAC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Протипоказання.</w:t>
      </w:r>
    </w:p>
    <w:p w14:paraId="132D3386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Підвищена чутливість до діючих речовин або до будь-якого іншого компонента лікарського засобу.</w:t>
      </w:r>
    </w:p>
    <w:p w14:paraId="481E4D95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 функції нирок та порушеннях провідності збудження в серці (AV-блокада високого ступеня), які можуть призвести до брадикардії. Порушення мінерального та електролітного обміну (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гіпермагніємія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гіперкаліємія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9325EB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Лікарський засіб протипоказаний при тяжкій міастенії,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ексикозі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метаболічному алкалозі, хронічних інфекціях сечовивідних </w:t>
      </w: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шляхів, спричинених бактеріями, які розщеплюють сечовину (ризик утворення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>струвітних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каменів),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кальцієво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-магнієво-амонійно-фосфорному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діатезі.</w:t>
      </w:r>
    </w:p>
    <w:p w14:paraId="21228B94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14:paraId="45517320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de-DE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de-DE"/>
        </w:rPr>
        <w:t>Взаємодія з іншими лікарськими засобами та інші види взаємодій.</w:t>
      </w:r>
    </w:p>
    <w:p w14:paraId="60BA5B9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Оскільки магній та інші лікарські засоби можуть мати взаємний вплив на засвоєння в організмі, як правило, слід дотримуватись інтервалів в 2–3 години між прийомами різних лікарських засобів. Це стосується, зокрема, фтору та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тетрациклінів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, для яких потрібно суворо дотримуватися інтервалу 2–3 години.</w:t>
      </w:r>
    </w:p>
    <w:p w14:paraId="68592000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При одночасному прийомі з лікарськими засобами, що містять алюміній (наприклад антацидних засобів), всмоктування алюмінію може підвищитися.</w:t>
      </w:r>
    </w:p>
    <w:p w14:paraId="3E2D7FE9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Аміноглікозидні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антибіотики,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цисплатин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прискорюють виведення магнію.</w:t>
      </w:r>
    </w:p>
    <w:p w14:paraId="7290D44D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Діуретики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(такі як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тіазид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фуросемід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антагоністи рецепторів епідермального фактору росту EGF (такі як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цетуксимаб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ерлотиніб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інгібітори протонного насосу (такі як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пантопразол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) та інгібітори ДНК-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полімерази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вірусів (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фоскарнет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пентамідин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рапаміцин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амфотерицин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 можуть викликати дефіцит магнію. Завдяки підвищеному виведенню магнію у пацієнтів, які приймають зазначені вище препарати, може знадобитися коригування доз магнію.</w:t>
      </w:r>
    </w:p>
    <w:p w14:paraId="392D72D4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F9AF560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Особливості застосування.</w:t>
      </w:r>
    </w:p>
    <w:p w14:paraId="16C42CDC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 таблетка шипуча містить 4,65 ммоль (107 мг) натрію.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 бути обережним при застосуванні пацієнтам, які застосовують натрій-контрольовану дієту.</w:t>
      </w:r>
    </w:p>
    <w:p w14:paraId="7EF9A43F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1 таблетка шипуча містить 2,51 ммоль (98 мг) калію. Слід бути обережним при застосуванні пацієнтам зі зниженою функцією нирок або тим, хто застосовує калій-контрольовану дієту.</w:t>
      </w:r>
    </w:p>
    <w:p w14:paraId="4A1F0B28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у Вас встановлена непереносимість деяких цукрів, проконсультуйтесь з лікарем, перш ніж приймати цей лікарський засіб.</w:t>
      </w:r>
    </w:p>
    <w:p w14:paraId="23FBEA8E" w14:textId="77777777" w:rsidR="0054730F" w:rsidRPr="0054730F" w:rsidRDefault="0054730F" w:rsidP="0054730F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12620814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  <w:t>Застосування в період вагітності або годування груддю.</w:t>
      </w:r>
    </w:p>
    <w:p w14:paraId="55DCAD79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>У період вагітності та годування груддю відсутні ризики щодо застосування лікарського засобу. Застосування лікарського засобу у період годування груддю рекомендується після консультації з лікарем та за призначенням лікаря.</w:t>
      </w:r>
    </w:p>
    <w:p w14:paraId="0DF7DC5E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78CDBAB7" w14:textId="77777777" w:rsidR="0054730F" w:rsidRPr="0054730F" w:rsidRDefault="0054730F" w:rsidP="0054730F">
      <w:pPr>
        <w:spacing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  <w:r w:rsidRPr="0054730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  <w:t>Здатність впливати на швидкість реакції при керуванні автотранспортом або іншими механізмами.</w:t>
      </w:r>
    </w:p>
    <w:p w14:paraId="07810402" w14:textId="77777777" w:rsidR="0054730F" w:rsidRPr="0054730F" w:rsidRDefault="0054730F" w:rsidP="0054730F">
      <w:pPr>
        <w:widowControl w:val="0"/>
        <w:shd w:val="clear" w:color="auto" w:fill="FFFFFF"/>
        <w:tabs>
          <w:tab w:val="left" w:pos="93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>Не впливає.</w:t>
      </w:r>
    </w:p>
    <w:p w14:paraId="7B836836" w14:textId="77777777" w:rsidR="0054730F" w:rsidRPr="0054730F" w:rsidRDefault="0054730F" w:rsidP="0054730F">
      <w:pPr>
        <w:widowControl w:val="0"/>
        <w:shd w:val="clear" w:color="auto" w:fill="FFFFFF"/>
        <w:tabs>
          <w:tab w:val="left" w:pos="93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14:paraId="7B41D540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Спосіб застосування та дози.</w:t>
      </w:r>
    </w:p>
    <w:p w14:paraId="279EFF59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Дорослим та дітям віком від 15 років призначають по 1 таблетці шипучій 1 – 2 рази на добу.</w:t>
      </w:r>
    </w:p>
    <w:p w14:paraId="19B6BFFE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Таблетку необхідно розчинити в склянці води, отриманий розчин випити.</w:t>
      </w:r>
    </w:p>
    <w:p w14:paraId="12F031C4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Тривалість лікування залежить від причин, що лежать в основі дефіциту магнію в організмі та визначається лікарем індивідуально.</w:t>
      </w:r>
    </w:p>
    <w:p w14:paraId="23B1F26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uk-UA"/>
        </w:rPr>
      </w:pPr>
    </w:p>
    <w:p w14:paraId="7CAD878C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  <w:t>Діти.</w:t>
      </w:r>
    </w:p>
    <w:p w14:paraId="28360B29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Лікарський засіб не рекомендовано застосовувати дітям віком до 15 років.</w:t>
      </w:r>
    </w:p>
    <w:p w14:paraId="3C56DCC4" w14:textId="77777777" w:rsidR="0054730F" w:rsidRPr="0054730F" w:rsidRDefault="0054730F" w:rsidP="0054730F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6B601FDF" w14:textId="77777777" w:rsidR="0054730F" w:rsidRPr="0054730F" w:rsidRDefault="0054730F" w:rsidP="0054730F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Передозування.</w:t>
      </w:r>
    </w:p>
    <w:p w14:paraId="61B39197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пероральному застосуванні солей магнію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гіпермагнезіємія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виникає лише при нирковій недостатності. Таким пацієнтам прийом солей магнію протипоказаний.</w:t>
      </w:r>
    </w:p>
    <w:p w14:paraId="40E53721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Симптоми інтоксикації</w:t>
      </w:r>
    </w:p>
    <w:p w14:paraId="3480CEB2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Високі концентрації магнію викликають розслаблення скелетної мускулатури (концентрації магнію в плазмі крові вище 5,5 ммоль/л).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Більш високі концентрації іонів магнію (10–20 ммоль/л) подовжують період провідності в серці, а ще вищі концентрації призводять до зупинки серця в діастолі.</w:t>
      </w:r>
    </w:p>
    <w:p w14:paraId="4C86571C" w14:textId="77777777" w:rsidR="0054730F" w:rsidRPr="0054730F" w:rsidRDefault="0054730F" w:rsidP="005473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Лікування інтоксикацій</w:t>
      </w:r>
    </w:p>
    <w:p w14:paraId="58C89BD8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Внутрішньовенне введення кальцію миттєво призводить до пригнічення описаних симптомів, оскільки існує антагонізм між іонами кальцію і магнію.</w:t>
      </w:r>
    </w:p>
    <w:p w14:paraId="230FA309" w14:textId="77777777" w:rsidR="0054730F" w:rsidRPr="0054730F" w:rsidRDefault="0054730F" w:rsidP="0054730F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14:paraId="29EE4386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Побічні реакції.</w:t>
      </w:r>
    </w:p>
    <w:p w14:paraId="34A12873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При більш високих дозах можливе пом’якшення випорожнень, що не вважається небезпечним та зникає після зниження дози. При тривалому прийомі високих доз лікарського засобу може виникнути відчуття втоми. В такому випадку лікар повинен на основі клінічної картини та лабораторних досліджень прийняти рішення щодо доцільності подальшого застосування магнію.</w:t>
      </w:r>
    </w:p>
    <w:p w14:paraId="2599832B" w14:textId="77777777" w:rsidR="0054730F" w:rsidRPr="0054730F" w:rsidRDefault="0054730F" w:rsidP="0054730F">
      <w:pPr>
        <w:spacing w:after="0" w:line="192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uk-UA"/>
        </w:rPr>
      </w:pPr>
    </w:p>
    <w:p w14:paraId="0D49D5BA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>Термін придатності.</w:t>
      </w:r>
    </w:p>
    <w:p w14:paraId="6498F086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>3 роки.</w:t>
      </w:r>
    </w:p>
    <w:p w14:paraId="5A50281C" w14:textId="77777777" w:rsidR="0054730F" w:rsidRPr="0054730F" w:rsidRDefault="0054730F" w:rsidP="0054730F">
      <w:pPr>
        <w:widowControl w:val="0"/>
        <w:tabs>
          <w:tab w:val="left" w:pos="5400"/>
        </w:tabs>
        <w:adjustRightInd w:val="0"/>
        <w:spacing w:after="0" w:line="192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501F956F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Умови зберігання.</w:t>
      </w:r>
    </w:p>
    <w:p w14:paraId="66B4A64D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Зберігати в оригінальній упаковці при температурі не вище 25 °С.</w:t>
      </w:r>
    </w:p>
    <w:p w14:paraId="3B5CD627" w14:textId="77777777" w:rsidR="0054730F" w:rsidRPr="0054730F" w:rsidRDefault="0054730F" w:rsidP="0054730F">
      <w:pPr>
        <w:spacing w:after="0" w:line="192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3906B82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Упаковка.</w:t>
      </w:r>
    </w:p>
    <w:p w14:paraId="06795629" w14:textId="77777777" w:rsidR="0054730F" w:rsidRPr="0054730F" w:rsidRDefault="0054730F" w:rsidP="00547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 10 таблеток шипучих у тубі; по 1 або 2 туби </w:t>
      </w:r>
      <w:r w:rsidRPr="0054730F">
        <w:rPr>
          <w:rFonts w:ascii="Times New Roman" w:eastAsia="Calibri" w:hAnsi="Times New Roman" w:cs="Times New Roman"/>
          <w:sz w:val="24"/>
          <w:szCs w:val="24"/>
          <w:lang w:eastAsia="ru-RU"/>
        </w:rPr>
        <w:t>в пачці з картону.</w:t>
      </w:r>
    </w:p>
    <w:p w14:paraId="77EB2727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14:paraId="1349EF38" w14:textId="77777777" w:rsidR="0054730F" w:rsidRPr="0054730F" w:rsidRDefault="0054730F" w:rsidP="0054730F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Категорія відпуску.</w:t>
      </w:r>
    </w:p>
    <w:p w14:paraId="166AE820" w14:textId="77777777" w:rsidR="0054730F" w:rsidRPr="0054730F" w:rsidRDefault="0054730F" w:rsidP="0054730F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uk-UA"/>
        </w:rPr>
        <w:t>Без рецепта.</w:t>
      </w:r>
    </w:p>
    <w:p w14:paraId="1E57D09E" w14:textId="77777777" w:rsidR="0054730F" w:rsidRPr="0054730F" w:rsidRDefault="0054730F" w:rsidP="0054730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14:paraId="29EB11B2" w14:textId="77777777" w:rsidR="0054730F" w:rsidRPr="0054730F" w:rsidRDefault="0054730F" w:rsidP="005473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Виробник. </w:t>
      </w:r>
    </w:p>
    <w:p w14:paraId="3A129A67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Гермес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Фарма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ГмбХ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/</w:t>
      </w:r>
    </w:p>
    <w:p w14:paraId="76BA38DB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Hermes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</w:t>
      </w:r>
      <w:r w:rsidRPr="0054730F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Pharma</w:t>
      </w:r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GmbH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.</w:t>
      </w:r>
    </w:p>
    <w:p w14:paraId="612428C9" w14:textId="77777777" w:rsidR="0054730F" w:rsidRPr="0054730F" w:rsidRDefault="0054730F" w:rsidP="0054730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14:paraId="433D9158" w14:textId="77777777" w:rsidR="0054730F" w:rsidRPr="0054730F" w:rsidRDefault="0054730F" w:rsidP="005473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54730F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Місцезнаходження виробника та адреса місця провадження його діяльності.</w:t>
      </w:r>
    </w:p>
    <w:p w14:paraId="2BFDAD25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Ганс-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Урміллер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-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Рінг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52, 82515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Вольфратсхаузен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, Німеччина/</w:t>
      </w:r>
    </w:p>
    <w:p w14:paraId="3DE8258E" w14:textId="77777777" w:rsidR="0054730F" w:rsidRPr="0054730F" w:rsidRDefault="0054730F" w:rsidP="005473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Hans-Urmiller-Ring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52, 82515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Wolfratshausen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Germany</w:t>
      </w:r>
      <w:proofErr w:type="spellEnd"/>
      <w:r w:rsidRPr="0054730F">
        <w:rPr>
          <w:rFonts w:ascii="Times New Roman" w:eastAsia="Calibri" w:hAnsi="Times New Roman" w:cs="Times New Roman"/>
          <w:sz w:val="24"/>
          <w:szCs w:val="24"/>
          <w:lang w:eastAsia="de-DE"/>
        </w:rPr>
        <w:t>.</w:t>
      </w:r>
    </w:p>
    <w:p w14:paraId="0DF58C82" w14:textId="77777777" w:rsidR="00C5608A" w:rsidRDefault="00C5608A"/>
    <w:sectPr w:rsidR="00C5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0F"/>
    <w:rsid w:val="0054730F"/>
    <w:rsid w:val="00C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31848"/>
  <w15:chartTrackingRefBased/>
  <w15:docId w15:val="{C813BFDD-9F40-461A-BFB3-CA7F4A5C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4942</Words>
  <Characters>2818</Characters>
  <Application>Microsoft Office Word</Application>
  <DocSecurity>0</DocSecurity>
  <Lines>23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Samsonova</dc:creator>
  <cp:keywords/>
  <dc:description/>
  <cp:lastModifiedBy>Viktoriia Samsonova</cp:lastModifiedBy>
  <cp:revision>1</cp:revision>
  <dcterms:created xsi:type="dcterms:W3CDTF">2023-02-01T11:44:00Z</dcterms:created>
  <dcterms:modified xsi:type="dcterms:W3CDTF">2023-02-01T11:45:00Z</dcterms:modified>
</cp:coreProperties>
</file>